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keepNext w:val="0"/>
        <w:keepLines w:val="0"/>
        <w:pageBreakBefore w:val="0"/>
        <w:widowControl w:val="0"/>
        <w:kinsoku/>
        <w:wordWrap/>
        <w:overflowPunct/>
        <w:topLinePunct w:val="0"/>
        <w:autoSpaceDE/>
        <w:autoSpaceDN/>
        <w:bidi w:val="0"/>
        <w:adjustRightInd/>
        <w:snapToGrid/>
        <w:spacing w:before="360" w:line="578" w:lineRule="exact"/>
        <w:jc w:val="center"/>
        <w:textAlignment w:val="auto"/>
        <w:rPr>
          <w:rFonts w:hint="eastAsia" w:ascii="宋体" w:hAnsi="宋体" w:eastAsia="宋体"/>
          <w:b/>
          <w:bCs/>
          <w:sz w:val="44"/>
          <w:szCs w:val="44"/>
          <w:lang w:eastAsia="zh-CN"/>
        </w:rPr>
      </w:pPr>
      <w:r>
        <w:rPr>
          <w:rFonts w:hint="eastAsia" w:ascii="宋体" w:hAnsi="宋体" w:eastAsia="宋体"/>
          <w:b/>
          <w:bCs/>
          <w:sz w:val="44"/>
          <w:szCs w:val="44"/>
          <w:lang w:eastAsia="zh-CN"/>
        </w:rPr>
        <w:t>（</w:t>
      </w:r>
      <w:r>
        <w:rPr>
          <w:rFonts w:hint="eastAsia" w:ascii="宋体" w:hAnsi="宋体" w:eastAsia="宋体"/>
          <w:b/>
          <w:bCs/>
          <w:sz w:val="44"/>
          <w:szCs w:val="44"/>
          <w:lang w:val="en-US" w:eastAsia="zh-CN"/>
        </w:rPr>
        <w:t>征求意见稿</w:t>
      </w:r>
      <w:r>
        <w:rPr>
          <w:rFonts w:hint="eastAsia" w:ascii="宋体" w:hAnsi="宋体" w:eastAsia="宋体"/>
          <w:b/>
          <w:bCs/>
          <w:sz w:val="44"/>
          <w:szCs w:val="44"/>
          <w:lang w:eastAsia="zh-CN"/>
        </w:rPr>
        <w:t>）</w:t>
      </w: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维修改造服务管理机构用房项目</w:t>
      </w:r>
      <w:r>
        <w:rPr>
          <w:rFonts w:hint="eastAsia" w:ascii="宋体" w:hAnsi="宋体" w:cs="宋体"/>
          <w:sz w:val="28"/>
          <w:szCs w:val="28"/>
          <w:u w:val="single"/>
          <w:lang w:val="en-US" w:eastAsia="zh-CN"/>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海口市军队离休退休干部活动中心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海口市民政局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年 </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 xml:space="preserve"> 月 </w:t>
      </w:r>
      <w:r>
        <w:rPr>
          <w:rFonts w:hint="eastAsia" w:ascii="仿宋_GB2312" w:hAnsi="仿宋_GB2312" w:eastAsia="仿宋_GB2312" w:cs="仿宋_GB2312"/>
          <w:sz w:val="32"/>
          <w:szCs w:val="32"/>
          <w:u w:val="single"/>
          <w:lang w:val="en-US" w:eastAsia="zh-CN"/>
        </w:rPr>
        <w:t>27</w:t>
      </w:r>
      <w:r>
        <w:rPr>
          <w:rFonts w:hint="eastAsia" w:ascii="仿宋_GB2312" w:hAnsi="仿宋_GB2312" w:eastAsia="仿宋_GB2312" w:cs="仿宋_GB2312"/>
          <w:sz w:val="32"/>
          <w:szCs w:val="32"/>
          <w:u w:val="single"/>
        </w:rPr>
        <w:t>日至</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 xml:space="preserve"> 月 </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评价单位（盖章）：海南天和会计师事务所（普通合伙）</w:t>
      </w:r>
    </w:p>
    <w:p>
      <w:pPr>
        <w:spacing w:line="578" w:lineRule="exact"/>
        <w:ind w:left="1600" w:hanging="1600" w:hangingChars="5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上报时间：</w:t>
      </w:r>
      <w:r>
        <w:rPr>
          <w:rFonts w:hint="eastAsia" w:ascii="仿宋_GB2312" w:hAnsi="仿宋_GB2312" w:eastAsia="仿宋_GB2312" w:cs="仿宋_GB2312"/>
          <w:sz w:val="32"/>
          <w:szCs w:val="32"/>
          <w:lang w:val="en-US" w:eastAsia="zh-CN"/>
        </w:rPr>
        <w:t>2020年4月9日</w:t>
      </w:r>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4"/>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79"/>
        <w:gridCol w:w="503"/>
        <w:gridCol w:w="425"/>
        <w:gridCol w:w="492"/>
        <w:gridCol w:w="46"/>
        <w:gridCol w:w="787"/>
        <w:gridCol w:w="473"/>
        <w:gridCol w:w="357"/>
        <w:gridCol w:w="136"/>
        <w:gridCol w:w="872"/>
        <w:gridCol w:w="705"/>
        <w:gridCol w:w="57"/>
        <w:gridCol w:w="428"/>
        <w:gridCol w:w="387"/>
        <w:gridCol w:w="433"/>
        <w:gridCol w:w="116"/>
        <w:gridCol w:w="1167"/>
        <w:gridCol w:w="12"/>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8793" w:type="dxa"/>
            <w:gridSpan w:val="19"/>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39" w:hRule="exact"/>
          <w:jc w:val="center"/>
        </w:trPr>
        <w:tc>
          <w:tcPr>
            <w:tcW w:w="18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2223"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海口市军队离休退休干部活动中心</w:t>
            </w:r>
          </w:p>
        </w:tc>
        <w:tc>
          <w:tcPr>
            <w:tcW w:w="2555"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海口市民政局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8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2223"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王首华</w:t>
            </w:r>
          </w:p>
        </w:tc>
        <w:tc>
          <w:tcPr>
            <w:tcW w:w="2555"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66984577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8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1"/>
            <w:vAlign w:val="center"/>
          </w:tcPr>
          <w:p>
            <w:pPr>
              <w:spacing w:line="300" w:lineRule="exact"/>
              <w:jc w:val="center"/>
              <w:rPr>
                <w:rFonts w:hint="default" w:ascii="宋体" w:hAnsi="宋体" w:eastAsia="宋体"/>
                <w:sz w:val="21"/>
                <w:szCs w:val="21"/>
                <w:lang w:val="en-US" w:eastAsia="zh-CN"/>
              </w:rPr>
            </w:pPr>
            <w:r>
              <w:rPr>
                <w:rFonts w:hint="eastAsia" w:ascii="宋体" w:hAnsi="宋体" w:eastAsia="宋体"/>
                <w:sz w:val="21"/>
                <w:szCs w:val="21"/>
              </w:rPr>
              <w:t>海口市</w:t>
            </w:r>
            <w:r>
              <w:rPr>
                <w:rFonts w:hint="eastAsia" w:ascii="宋体" w:hAnsi="宋体"/>
                <w:sz w:val="21"/>
                <w:szCs w:val="21"/>
                <w:lang w:eastAsia="zh-CN"/>
              </w:rPr>
              <w:t>龙华区城西路</w:t>
            </w:r>
            <w:r>
              <w:rPr>
                <w:rFonts w:hint="eastAsia" w:ascii="宋体" w:hAnsi="宋体"/>
                <w:sz w:val="21"/>
                <w:szCs w:val="21"/>
                <w:lang w:val="en-US" w:eastAsia="zh-CN"/>
              </w:rPr>
              <w:t>31号</w:t>
            </w:r>
          </w:p>
        </w:tc>
        <w:tc>
          <w:tcPr>
            <w:tcW w:w="936"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3"/>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571101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4" w:hRule="exact"/>
          <w:jc w:val="center"/>
        </w:trPr>
        <w:tc>
          <w:tcPr>
            <w:tcW w:w="18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1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经常性项目（   ）       一次性项目（</w:t>
            </w:r>
            <w:r>
              <w:rPr>
                <w:rFonts w:hint="eastAsia" w:ascii="宋体" w:hAnsi="宋体"/>
                <w:sz w:val="21"/>
                <w:szCs w:val="21"/>
                <w:lang w:val="en-US" w:eastAsia="zh-CN"/>
              </w:rPr>
              <w:t>√</w:t>
            </w:r>
            <w:r>
              <w:rPr>
                <w:rFonts w:hint="eastAsia"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749" w:hRule="exact"/>
          <w:jc w:val="center"/>
        </w:trPr>
        <w:tc>
          <w:tcPr>
            <w:tcW w:w="18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919.79</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872"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736.09</w:t>
            </w:r>
          </w:p>
        </w:tc>
        <w:tc>
          <w:tcPr>
            <w:tcW w:w="157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872" w:type="dxa"/>
            <w:vAlign w:val="center"/>
          </w:tcPr>
          <w:p>
            <w:pPr>
              <w:spacing w:line="300" w:lineRule="exact"/>
              <w:jc w:val="center"/>
              <w:rPr>
                <w:rFonts w:hint="eastAsia" w:ascii="宋体" w:hAnsi="宋体" w:eastAsia="宋体"/>
                <w:sz w:val="21"/>
                <w:szCs w:val="21"/>
              </w:rPr>
            </w:pPr>
          </w:p>
        </w:tc>
        <w:tc>
          <w:tcPr>
            <w:tcW w:w="1577" w:type="dxa"/>
            <w:gridSpan w:val="4"/>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872" w:type="dxa"/>
            <w:vAlign w:val="center"/>
          </w:tcPr>
          <w:p>
            <w:pPr>
              <w:spacing w:line="300" w:lineRule="exact"/>
              <w:jc w:val="center"/>
              <w:rPr>
                <w:rFonts w:hint="eastAsia" w:ascii="宋体" w:hAnsi="宋体" w:eastAsia="宋体"/>
                <w:sz w:val="21"/>
                <w:szCs w:val="21"/>
              </w:rPr>
            </w:pPr>
          </w:p>
        </w:tc>
        <w:tc>
          <w:tcPr>
            <w:tcW w:w="1577" w:type="dxa"/>
            <w:gridSpan w:val="4"/>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919.79</w:t>
            </w: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872"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736.09</w:t>
            </w:r>
          </w:p>
        </w:tc>
        <w:tc>
          <w:tcPr>
            <w:tcW w:w="1577" w:type="dxa"/>
            <w:gridSpan w:val="4"/>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1882"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5"/>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872" w:type="dxa"/>
            <w:vAlign w:val="center"/>
          </w:tcPr>
          <w:p>
            <w:pPr>
              <w:spacing w:line="300" w:lineRule="exact"/>
              <w:jc w:val="center"/>
              <w:rPr>
                <w:rFonts w:hint="eastAsia" w:ascii="宋体" w:hAnsi="宋体" w:eastAsia="宋体"/>
                <w:sz w:val="21"/>
                <w:szCs w:val="21"/>
              </w:rPr>
            </w:pPr>
          </w:p>
        </w:tc>
        <w:tc>
          <w:tcPr>
            <w:tcW w:w="1577" w:type="dxa"/>
            <w:gridSpan w:val="4"/>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After w:val="1"/>
          <w:wAfter w:w="18" w:type="dxa"/>
          <w:trHeight w:val="454" w:hRule="exact"/>
          <w:jc w:val="center"/>
        </w:trPr>
        <w:tc>
          <w:tcPr>
            <w:tcW w:w="8775" w:type="dxa"/>
            <w:gridSpan w:val="18"/>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w:t>
            </w:r>
            <w:bookmarkStart w:id="5" w:name="_GoBack"/>
            <w:bookmarkEnd w:id="5"/>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124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28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4462" w:type="dxa"/>
            <w:gridSpan w:val="8"/>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9"/>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8763" w:type="dxa"/>
            <w:gridSpan w:val="17"/>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466"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3330"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305"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283" w:type="dxa"/>
            <w:gridSpan w:val="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庄子鹏</w:t>
            </w:r>
          </w:p>
        </w:tc>
        <w:tc>
          <w:tcPr>
            <w:tcW w:w="1466"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注册会计师</w:t>
            </w:r>
          </w:p>
        </w:tc>
        <w:tc>
          <w:tcPr>
            <w:tcW w:w="3330"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0"/>
                <w:szCs w:val="20"/>
                <w:lang w:val="en-US" w:eastAsia="zh-CN"/>
              </w:rPr>
              <w:t>海南天和会计师事务所（普通合伙）</w:t>
            </w:r>
          </w:p>
        </w:tc>
        <w:tc>
          <w:tcPr>
            <w:tcW w:w="1305"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81</w:t>
            </w:r>
          </w:p>
        </w:tc>
        <w:tc>
          <w:tcPr>
            <w:tcW w:w="1283" w:type="dxa"/>
            <w:gridSpan w:val="2"/>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567" w:hRule="exact"/>
          <w:jc w:val="center"/>
        </w:trPr>
        <w:tc>
          <w:tcPr>
            <w:tcW w:w="1379" w:type="dxa"/>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庄少玲</w:t>
            </w:r>
          </w:p>
        </w:tc>
        <w:tc>
          <w:tcPr>
            <w:tcW w:w="1466"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审计助理</w:t>
            </w:r>
          </w:p>
        </w:tc>
        <w:tc>
          <w:tcPr>
            <w:tcW w:w="3330" w:type="dxa"/>
            <w:gridSpan w:val="6"/>
            <w:vAlign w:val="center"/>
          </w:tcPr>
          <w:p>
            <w:pPr>
              <w:spacing w:line="300" w:lineRule="exact"/>
              <w:jc w:val="center"/>
              <w:rPr>
                <w:rFonts w:hint="eastAsia" w:ascii="宋体" w:hAnsi="宋体" w:eastAsia="宋体"/>
                <w:sz w:val="21"/>
                <w:szCs w:val="21"/>
              </w:rPr>
            </w:pPr>
            <w:r>
              <w:rPr>
                <w:rFonts w:hint="eastAsia" w:ascii="宋体" w:hAnsi="宋体"/>
                <w:sz w:val="20"/>
                <w:szCs w:val="20"/>
                <w:lang w:val="en-US" w:eastAsia="zh-CN"/>
              </w:rPr>
              <w:t>海南天和会计师事务所（普通合伙）</w:t>
            </w:r>
          </w:p>
        </w:tc>
        <w:tc>
          <w:tcPr>
            <w:tcW w:w="1305"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81</w:t>
            </w:r>
          </w:p>
        </w:tc>
        <w:tc>
          <w:tcPr>
            <w:tcW w:w="1283" w:type="dxa"/>
            <w:gridSpan w:val="2"/>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val="en-US" w:eastAsia="zh-CN"/>
              </w:rPr>
              <w:t>吴  艳</w:t>
            </w:r>
          </w:p>
        </w:tc>
        <w:tc>
          <w:tcPr>
            <w:tcW w:w="1466" w:type="dxa"/>
            <w:gridSpan w:val="4"/>
            <w:vAlign w:val="center"/>
          </w:tcPr>
          <w:p>
            <w:pPr>
              <w:spacing w:line="300" w:lineRule="exact"/>
              <w:jc w:val="center"/>
              <w:rPr>
                <w:rFonts w:hint="eastAsia" w:ascii="宋体" w:hAnsi="宋体" w:eastAsia="宋体"/>
                <w:sz w:val="21"/>
                <w:szCs w:val="21"/>
              </w:rPr>
            </w:pPr>
            <w:r>
              <w:rPr>
                <w:rFonts w:hint="eastAsia" w:ascii="宋体" w:hAnsi="宋体"/>
                <w:sz w:val="21"/>
                <w:szCs w:val="21"/>
                <w:lang w:val="en-US" w:eastAsia="zh-CN"/>
              </w:rPr>
              <w:t>审计助理</w:t>
            </w:r>
          </w:p>
        </w:tc>
        <w:tc>
          <w:tcPr>
            <w:tcW w:w="3330" w:type="dxa"/>
            <w:gridSpan w:val="6"/>
            <w:vAlign w:val="center"/>
          </w:tcPr>
          <w:p>
            <w:pPr>
              <w:spacing w:line="300" w:lineRule="exact"/>
              <w:jc w:val="center"/>
              <w:rPr>
                <w:rFonts w:hint="eastAsia" w:ascii="宋体" w:hAnsi="宋体" w:eastAsia="宋体"/>
                <w:sz w:val="21"/>
                <w:szCs w:val="21"/>
              </w:rPr>
            </w:pPr>
            <w:r>
              <w:rPr>
                <w:rFonts w:hint="eastAsia" w:ascii="宋体" w:hAnsi="宋体"/>
                <w:sz w:val="20"/>
                <w:szCs w:val="20"/>
                <w:lang w:val="en-US" w:eastAsia="zh-CN"/>
              </w:rPr>
              <w:t>海南天和会计师事务所（普通合伙）</w:t>
            </w:r>
          </w:p>
        </w:tc>
        <w:tc>
          <w:tcPr>
            <w:tcW w:w="1305"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81</w:t>
            </w:r>
          </w:p>
        </w:tc>
        <w:tc>
          <w:tcPr>
            <w:tcW w:w="1283" w:type="dxa"/>
            <w:gridSpan w:val="2"/>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454" w:hRule="exact"/>
          <w:jc w:val="center"/>
        </w:trPr>
        <w:tc>
          <w:tcPr>
            <w:tcW w:w="1379" w:type="dxa"/>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466" w:type="dxa"/>
            <w:gridSpan w:val="4"/>
            <w:vAlign w:val="center"/>
          </w:tcPr>
          <w:p>
            <w:pPr>
              <w:spacing w:line="300" w:lineRule="exact"/>
              <w:jc w:val="center"/>
              <w:rPr>
                <w:rFonts w:hint="eastAsia" w:ascii="宋体" w:hAnsi="宋体" w:eastAsia="宋体"/>
                <w:sz w:val="21"/>
                <w:szCs w:val="21"/>
              </w:rPr>
            </w:pPr>
          </w:p>
        </w:tc>
        <w:tc>
          <w:tcPr>
            <w:tcW w:w="3330" w:type="dxa"/>
            <w:gridSpan w:val="6"/>
            <w:vAlign w:val="center"/>
          </w:tcPr>
          <w:p>
            <w:pPr>
              <w:spacing w:line="300" w:lineRule="exact"/>
              <w:jc w:val="center"/>
              <w:rPr>
                <w:rFonts w:hint="eastAsia" w:ascii="宋体" w:hAnsi="宋体" w:eastAsia="宋体"/>
                <w:sz w:val="21"/>
                <w:szCs w:val="21"/>
              </w:rPr>
            </w:pPr>
          </w:p>
        </w:tc>
        <w:tc>
          <w:tcPr>
            <w:tcW w:w="1305"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color w:val="A4A4A4"/>
                <w:sz w:val="21"/>
                <w:szCs w:val="21"/>
                <w:lang w:val="en-US" w:eastAsia="zh-CN"/>
              </w:rPr>
              <w:t>81</w:t>
            </w:r>
          </w:p>
        </w:tc>
        <w:tc>
          <w:tcPr>
            <w:tcW w:w="1283" w:type="dxa"/>
            <w:gridSpan w:val="2"/>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0" w:type="dxa"/>
          <w:trHeight w:val="20" w:hRule="atLeast"/>
          <w:jc w:val="center"/>
        </w:trPr>
        <w:tc>
          <w:tcPr>
            <w:tcW w:w="8763" w:type="dxa"/>
            <w:gridSpan w:val="17"/>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年    月   日</w:t>
            </w:r>
          </w:p>
        </w:tc>
      </w:tr>
    </w:tbl>
    <w:p>
      <w:pPr>
        <w:spacing w:line="578" w:lineRule="exact"/>
        <w:jc w:val="center"/>
        <w:rPr>
          <w:rFonts w:hint="eastAsia" w:ascii="宋体" w:hAnsi="宋体"/>
          <w:b/>
          <w:bCs/>
          <w:color w:val="000000"/>
          <w:sz w:val="44"/>
          <w:szCs w:val="44"/>
        </w:rPr>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pPr>
    </w:p>
    <w:p>
      <w:pPr>
        <w:spacing w:line="578" w:lineRule="exact"/>
        <w:jc w:val="center"/>
        <w:rPr>
          <w:rFonts w:ascii="宋体" w:hAnsi="宋体"/>
          <w:b/>
          <w:bCs/>
          <w:color w:val="000000"/>
          <w:sz w:val="44"/>
          <w:szCs w:val="44"/>
        </w:rPr>
      </w:pPr>
      <w:r>
        <w:rPr>
          <w:rFonts w:hint="eastAsia" w:ascii="宋体" w:hAnsi="宋体"/>
          <w:b/>
          <w:bCs/>
          <w:color w:val="000000"/>
          <w:sz w:val="44"/>
          <w:szCs w:val="44"/>
        </w:rPr>
        <w:t>海口市军队离休退休干部活动中心</w:t>
      </w:r>
    </w:p>
    <w:p>
      <w:pPr>
        <w:spacing w:line="578" w:lineRule="exact"/>
        <w:jc w:val="center"/>
        <w:rPr>
          <w:rFonts w:hint="eastAsia" w:ascii="宋体" w:hAnsi="宋体"/>
          <w:b/>
          <w:bCs/>
          <w:color w:val="000000"/>
          <w:sz w:val="44"/>
          <w:szCs w:val="44"/>
        </w:rPr>
      </w:pPr>
      <w:r>
        <w:rPr>
          <w:rFonts w:hint="eastAsia" w:ascii="宋体" w:hAnsi="宋体"/>
          <w:b/>
          <w:bCs/>
          <w:color w:val="000000"/>
          <w:sz w:val="44"/>
          <w:szCs w:val="44"/>
        </w:rPr>
        <w:t>维修改造服务管理机构用房项目</w:t>
      </w:r>
    </w:p>
    <w:p>
      <w:pPr>
        <w:spacing w:line="578" w:lineRule="exact"/>
        <w:jc w:val="center"/>
        <w:rPr>
          <w:rFonts w:hint="eastAsia" w:ascii="宋体" w:hAnsi="宋体"/>
          <w:b/>
          <w:bCs/>
          <w:color w:val="000000"/>
          <w:sz w:val="44"/>
          <w:szCs w:val="44"/>
        </w:rPr>
      </w:pPr>
      <w:r>
        <w:rPr>
          <w:rFonts w:hint="eastAsia" w:ascii="宋体" w:hAnsi="宋体"/>
          <w:b/>
          <w:bCs/>
          <w:color w:val="000000"/>
          <w:sz w:val="44"/>
          <w:szCs w:val="44"/>
        </w:rPr>
        <w:t>绩效评价报告</w:t>
      </w:r>
    </w:p>
    <w:p>
      <w:pPr>
        <w:spacing w:line="578" w:lineRule="exact"/>
        <w:jc w:val="center"/>
        <w:rPr>
          <w:rFonts w:hint="eastAsia" w:ascii="宋体" w:hAnsi="宋体"/>
          <w:b/>
          <w:bCs/>
          <w:color w:val="000000"/>
          <w:sz w:val="44"/>
          <w:szCs w:val="44"/>
        </w:rPr>
      </w:pP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一、项目概况</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（一）项目相关单位</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1、项目建设单位：海口市军队离休退休干部活动中心（以下简称“军休中心”），系项目的使用单位，参与项目建设，建成后负责接收、使用和管理。</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2、项目代理单位：海口市民政局，系军休中心主管单位，负责项目管理（包括前期代理及资金支付管理）。</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3、项目施工代建单位：海南德润科教投资有限公司，系海口市城市建设投资有限公司全资子公司，负责组织项目施工管理工作。</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4、项目建设单位基本情况</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军休中心主要为军休干部提供政治文化娱乐活动服务，负责军休干部文体活动组织、活动场地设施的维护与管理等。法定代表人：王首华。</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（二）项目基本性质、用途和主要内容</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1、项目基本性质：属于工程基建项目。</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2、项目用途：将海口市龙华二横路的好而惠大厦（原市机关事务管理局）维修改造成军休干部服务管理机构用房。</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3、项目内容：</w:t>
      </w:r>
      <w:bookmarkStart w:id="0" w:name="_Hlk37259315"/>
      <w:r>
        <w:rPr>
          <w:rFonts w:hint="eastAsia" w:ascii="仿宋" w:hAnsi="仿宋" w:eastAsia="仿宋" w:cs="仿宋"/>
          <w:color w:val="000000"/>
          <w:sz w:val="32"/>
          <w:szCs w:val="32"/>
          <w:lang w:bidi="ar-SA"/>
        </w:rPr>
        <w:t>包括建筑部分、安装部分及购置相应配套设备。</w:t>
      </w:r>
      <w:bookmarkEnd w:id="0"/>
      <w:r>
        <w:rPr>
          <w:rFonts w:hint="eastAsia" w:ascii="仿宋" w:hAnsi="仿宋" w:eastAsia="仿宋" w:cs="仿宋"/>
          <w:color w:val="000000"/>
          <w:sz w:val="32"/>
          <w:szCs w:val="32"/>
          <w:lang w:bidi="ar-SA"/>
        </w:rPr>
        <w:t>其中建筑部分主要包括对建筑的外立面、屋面、各层平面布局和室内装修进行维修改造；安装部分主要包括供配电及照明系统、防雷系统、弱电系统、给排水系统、通风空调系统、消防系统的改造及相关设备设施购置。</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w:t>
      </w:r>
      <w:r>
        <w:rPr>
          <w:rFonts w:hint="eastAsia" w:ascii="仿宋" w:hAnsi="仿宋" w:eastAsia="仿宋" w:cs="仿宋"/>
          <w:color w:val="000000"/>
          <w:sz w:val="32"/>
          <w:szCs w:val="32"/>
          <w:lang w:val="en-US" w:eastAsia="zh-CN" w:bidi="ar-SA"/>
        </w:rPr>
        <w:t>三</w:t>
      </w:r>
      <w:r>
        <w:rPr>
          <w:rFonts w:hint="eastAsia" w:ascii="仿宋" w:hAnsi="仿宋" w:eastAsia="仿宋" w:cs="仿宋"/>
          <w:color w:val="000000"/>
          <w:sz w:val="32"/>
          <w:szCs w:val="32"/>
          <w:lang w:bidi="ar-SA"/>
        </w:rPr>
        <w:t>）项目绩效目标</w:t>
      </w:r>
    </w:p>
    <w:p>
      <w:pPr>
        <w:spacing w:line="578" w:lineRule="exact"/>
        <w:ind w:firstLine="480"/>
        <w:rPr>
          <w:rFonts w:hint="eastAsia" w:ascii="仿宋" w:hAnsi="仿宋" w:eastAsia="仿宋" w:cs="仿宋"/>
          <w:sz w:val="32"/>
          <w:szCs w:val="32"/>
          <w:lang w:bidi="ar-SA"/>
        </w:rPr>
      </w:pPr>
      <w:r>
        <w:rPr>
          <w:rFonts w:hint="eastAsia" w:ascii="仿宋" w:hAnsi="仿宋" w:eastAsia="仿宋" w:cs="仿宋"/>
          <w:sz w:val="32"/>
          <w:szCs w:val="32"/>
          <w:lang w:bidi="ar-SA"/>
        </w:rPr>
        <w:t>军休中心机构用房维修改造项目（以下简称“本项目”）2019年度预算可执行指标金额为330万元，预算单位为海口市民政局。</w:t>
      </w:r>
    </w:p>
    <w:p>
      <w:pPr>
        <w:spacing w:line="578" w:lineRule="exact"/>
        <w:ind w:firstLine="480"/>
        <w:rPr>
          <w:rFonts w:hint="eastAsia" w:ascii="仿宋" w:hAnsi="仿宋" w:eastAsia="仿宋" w:cs="仿宋"/>
          <w:sz w:val="32"/>
          <w:szCs w:val="32"/>
          <w:lang w:bidi="ar-SA"/>
        </w:rPr>
      </w:pPr>
      <w:r>
        <w:rPr>
          <w:rFonts w:hint="eastAsia" w:ascii="仿宋" w:hAnsi="仿宋" w:eastAsia="仿宋" w:cs="仿宋"/>
          <w:sz w:val="32"/>
          <w:szCs w:val="32"/>
          <w:lang w:bidi="ar-SA"/>
        </w:rPr>
        <w:t>年初确定的绩效目标为完成工作人员办公用房、军休干部大学（琴棋书画、说唱技演等文化娱乐培训教育使用）多功能会议室、党务建设工作用房、荣誉室、阅览室、接待用房、厨房、餐厅、车库等维修改造工程。</w:t>
      </w:r>
    </w:p>
    <w:p>
      <w:pPr>
        <w:spacing w:line="578" w:lineRule="exact"/>
        <w:outlineLvl w:val="0"/>
        <w:rPr>
          <w:rFonts w:hint="eastAsia" w:ascii="仿宋" w:hAnsi="仿宋" w:eastAsia="仿宋" w:cs="仿宋"/>
          <w:bCs/>
          <w:color w:val="000000"/>
          <w:sz w:val="32"/>
          <w:szCs w:val="32"/>
          <w:lang w:bidi="ar-SA"/>
        </w:rPr>
      </w:pPr>
      <w:r>
        <w:rPr>
          <w:rFonts w:hint="eastAsia" w:ascii="仿宋" w:hAnsi="仿宋" w:eastAsia="仿宋" w:cs="仿宋"/>
          <w:color w:val="000000"/>
          <w:sz w:val="32"/>
          <w:szCs w:val="32"/>
          <w:lang w:bidi="ar-SA"/>
        </w:rPr>
        <w:t xml:space="preserve">    二、</w:t>
      </w:r>
      <w:r>
        <w:rPr>
          <w:rFonts w:hint="eastAsia" w:ascii="仿宋" w:hAnsi="仿宋" w:eastAsia="仿宋" w:cs="仿宋"/>
          <w:bCs/>
          <w:color w:val="000000"/>
          <w:sz w:val="32"/>
          <w:szCs w:val="32"/>
          <w:lang w:bidi="ar-SA"/>
        </w:rPr>
        <w:t>项目资金使用及管理情况</w:t>
      </w:r>
    </w:p>
    <w:p>
      <w:pPr>
        <w:spacing w:line="578" w:lineRule="exact"/>
        <w:ind w:firstLine="640" w:firstLineChars="200"/>
        <w:rPr>
          <w:rFonts w:hint="eastAsia" w:ascii="仿宋" w:hAnsi="仿宋" w:eastAsia="仿宋" w:cs="仿宋"/>
          <w:bCs/>
          <w:color w:val="000000"/>
          <w:sz w:val="32"/>
          <w:szCs w:val="32"/>
          <w:lang w:bidi="ar-SA"/>
        </w:rPr>
      </w:pPr>
      <w:r>
        <w:rPr>
          <w:rFonts w:hint="eastAsia" w:ascii="仿宋" w:hAnsi="仿宋" w:eastAsia="仿宋" w:cs="仿宋"/>
          <w:sz w:val="32"/>
          <w:szCs w:val="32"/>
          <w:lang w:bidi="ar-SA"/>
        </w:rPr>
        <w:t>（一）项目资金到位情况分析</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根据海口市财政局《关于批复2019年市本级部门预算的通知》（海财预〔2019〕1430号）的批复，2019年海口市军队离休退休干部活动中心机构用房维修改造项目预算3,300,000.00元,截止2019年12月31日，海口市财政局已拨付经费3,300,000.00元，到位率100%，资金及时到位。</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（二）项目资金使用情况分析</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2019年海口市军队离休退休干部活动中心机构用房维修改造项目安排预算3,300,000.00元，截至2019年12月31日项目支出金额2,989,637.16元，其中：（1）工程进度款1,154,441.96元；（2）代建管理费36,070.00元；（3）工程监理费38,617.20元；（4）设备采购款1,738,986.00元；（5）其他费用21,522.00元。</w:t>
      </w: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sz w:val="32"/>
          <w:szCs w:val="32"/>
          <w:lang w:bidi="ar-SA"/>
        </w:rPr>
        <w:t>（三）项目资金管理情况分析</w:t>
      </w:r>
    </w:p>
    <w:p>
      <w:pPr>
        <w:spacing w:line="578" w:lineRule="exact"/>
        <w:ind w:firstLine="640" w:firstLineChars="200"/>
        <w:outlineLvl w:val="0"/>
        <w:rPr>
          <w:rFonts w:hint="eastAsia" w:ascii="仿宋" w:hAnsi="仿宋" w:eastAsia="仿宋" w:cs="仿宋"/>
          <w:color w:val="000000"/>
          <w:sz w:val="32"/>
          <w:szCs w:val="32"/>
          <w:lang w:bidi="ar-SA"/>
        </w:rPr>
      </w:pPr>
      <w:r>
        <w:rPr>
          <w:rFonts w:hint="eastAsia" w:ascii="仿宋" w:hAnsi="仿宋" w:eastAsia="仿宋" w:cs="仿宋"/>
          <w:color w:val="000000"/>
          <w:sz w:val="32"/>
          <w:szCs w:val="32"/>
          <w:lang w:bidi="ar-SA"/>
        </w:rPr>
        <w:t>项目资金下达海口市民政局零余额账户，由报账员专管，委派会计审核支出记账。项目资金严格按照《中华人民共和国会计法》和《政府会计制度》等法规以及《海口市民政局财务收支管理办法》、《海口市民政局建设项目管理办法》、《海口市民政局政府采购管理办法》、《海口市民政局“三重一大”制度》等内控制度的规定支出，按照项目支出的范围、用途控制，坚持专款专用，不挤占挪用。项目资金支出的合法性、合理性，由会计和局领导进行把关和核对，并进行会计核算。</w:t>
      </w:r>
    </w:p>
    <w:p>
      <w:pPr>
        <w:spacing w:line="578" w:lineRule="exact"/>
        <w:ind w:firstLine="640" w:firstLineChars="20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三、项目组织实施情况</w:t>
      </w: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（一）项目组织情况分析</w:t>
      </w: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本项目由海口市民政局负责前期代理和资金支付，军休中心参与项目管理。</w:t>
      </w:r>
      <w:r>
        <w:rPr>
          <w:rFonts w:hint="eastAsia" w:ascii="仿宋" w:hAnsi="仿宋" w:eastAsia="仿宋" w:cs="仿宋"/>
          <w:color w:val="000000"/>
          <w:sz w:val="32"/>
          <w:szCs w:val="32"/>
          <w:lang w:bidi="ar-SA"/>
        </w:rPr>
        <w:t>海南德润科教投资有限公司负责施工代建工作</w:t>
      </w:r>
      <w:r>
        <w:rPr>
          <w:rFonts w:hint="eastAsia" w:ascii="仿宋" w:hAnsi="仿宋" w:eastAsia="仿宋" w:cs="仿宋"/>
          <w:bCs/>
          <w:color w:val="000000"/>
          <w:sz w:val="32"/>
          <w:szCs w:val="32"/>
          <w:lang w:bidi="ar-SA"/>
        </w:rPr>
        <w:t>。根据海口市发展和改革委员会出具的《招标事项核准意见表》，本项目的施工和主要设备采用公开招标方式进行，其中：施工项目中标单位为四川旭兴建筑工程有限公司，中标金额5,994,246.19元；主要设备采购中标单位为海口创鑫辉贸易有限公司，中标金额1,279,453.00元。施工工程除消防水泵和消防控制室因产权问题无法施工外，其他部分已于2019年9月竣工验收，主要设备于2019年10月完成安装验收。</w:t>
      </w: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（二）项目管理情况分析</w:t>
      </w: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本项目申请立项时即制定了《市军队离休退休干部活动中心关于购置服务管理机构用房工作方案》，成立项目领导小组，成员由海口市民政局和军休中心工作人员组成，领导小组下设办公室。小组领导指导决策，办公室具体负责推进并抓好日常有关工作的落实，确保项目落地、建成。</w:t>
      </w:r>
    </w:p>
    <w:p>
      <w:pPr>
        <w:spacing w:line="578" w:lineRule="exact"/>
        <w:ind w:firstLine="640" w:firstLineChars="20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四、项目绩效</w:t>
      </w:r>
      <w:r>
        <w:rPr>
          <w:rFonts w:hint="eastAsia" w:ascii="仿宋" w:hAnsi="仿宋" w:eastAsia="仿宋" w:cs="仿宋"/>
          <w:bCs/>
          <w:color w:val="000000"/>
          <w:sz w:val="32"/>
          <w:szCs w:val="32"/>
          <w:lang w:bidi="ar-SA"/>
        </w:rPr>
        <w:t>目标完成</w:t>
      </w:r>
      <w:r>
        <w:rPr>
          <w:rFonts w:hint="eastAsia" w:ascii="仿宋" w:hAnsi="仿宋" w:eastAsia="仿宋" w:cs="仿宋"/>
          <w:bCs/>
          <w:sz w:val="32"/>
          <w:szCs w:val="32"/>
          <w:lang w:bidi="ar-SA"/>
        </w:rPr>
        <w:t>情况</w:t>
      </w:r>
    </w:p>
    <w:p>
      <w:pPr>
        <w:spacing w:line="578" w:lineRule="exact"/>
        <w:ind w:firstLine="640" w:firstLineChars="20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（一） 项目的经济性分析</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1、项目成本（预算）控制情况</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截至2019年12月31日，本项目预算总额7,360,900.00元，累计支出总额7,083,110.42元。其中，2019年度预算金额3,300,000.00元，支出总额2,989,637.16元（详见附件二）。</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2、项目成本（预算）节约情况</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经海口市发展和改革委员会《海发改社发函[2017]1433号》文批准的本项目概算总额为9,197,864.74元。截至2019年12月31日，本项目支出总额和分项金额均未超出概算金额。2019年本项目尚未进行工程结算和竣工决算，无法计算项目成本节约金额（详见附件二）。</w:t>
      </w:r>
    </w:p>
    <w:p>
      <w:pPr>
        <w:tabs>
          <w:tab w:val="left" w:pos="640"/>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（二）项目的效率性分析</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1、项目的实施进度</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建安工程除消防水泵和消防控制室因产权问题无法施工外，其他部分已于2019年9月通过验收，主要专用设备于2019年10月完成安装验收。</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2、项目完成质量</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除消防系统外，其他已完成工程符合验收标准。整体环境简洁明亮、功能完备。投入使用后预计可满足我市军休干部政治文化娱乐多方面需求。</w:t>
      </w: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（三）项目的</w:t>
      </w:r>
      <w:r>
        <w:rPr>
          <w:rFonts w:hint="eastAsia" w:ascii="仿宋" w:hAnsi="仿宋" w:eastAsia="仿宋" w:cs="仿宋"/>
          <w:sz w:val="32"/>
          <w:szCs w:val="32"/>
          <w:lang w:bidi="ar-SA"/>
        </w:rPr>
        <w:t>效益性分析</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（1）项目预期目标完成程度</w:t>
      </w:r>
    </w:p>
    <w:p>
      <w:pPr>
        <w:spacing w:line="578" w:lineRule="exact"/>
        <w:ind w:firstLine="640" w:firstLineChars="200"/>
        <w:rPr>
          <w:rFonts w:hint="eastAsia" w:ascii="仿宋" w:hAnsi="仿宋" w:eastAsia="仿宋" w:cs="仿宋"/>
          <w:sz w:val="32"/>
          <w:szCs w:val="32"/>
          <w:lang w:bidi="ar-SA"/>
        </w:rPr>
      </w:pPr>
      <w:r>
        <w:rPr>
          <w:rFonts w:hint="eastAsia" w:ascii="仿宋" w:hAnsi="仿宋" w:eastAsia="仿宋" w:cs="仿宋"/>
          <w:sz w:val="32"/>
          <w:szCs w:val="32"/>
          <w:lang w:bidi="ar-SA"/>
        </w:rPr>
        <w:t>军休中心机构用房除消防系统外已完成其他部分维修改造和设备安装，基本完成预期目标。</w:t>
      </w:r>
    </w:p>
    <w:p>
      <w:pPr>
        <w:spacing w:line="578" w:lineRule="exact"/>
        <w:ind w:firstLine="640" w:firstLineChars="200"/>
        <w:outlineLvl w:val="0"/>
        <w:rPr>
          <w:rFonts w:hint="eastAsia" w:ascii="仿宋" w:hAnsi="仿宋" w:eastAsia="仿宋" w:cs="仿宋"/>
          <w:sz w:val="32"/>
          <w:szCs w:val="32"/>
          <w:lang w:bidi="ar-SA"/>
        </w:rPr>
      </w:pPr>
      <w:r>
        <w:rPr>
          <w:rFonts w:hint="eastAsia" w:ascii="仿宋" w:hAnsi="仿宋" w:eastAsia="仿宋" w:cs="仿宋"/>
          <w:sz w:val="32"/>
          <w:szCs w:val="32"/>
          <w:lang w:bidi="ar-SA"/>
        </w:rPr>
        <w:t>（2）项目实施对经济和社会的影响</w:t>
      </w:r>
    </w:p>
    <w:p>
      <w:pPr>
        <w:spacing w:line="578" w:lineRule="exact"/>
        <w:ind w:firstLine="640" w:firstLineChars="200"/>
        <w:outlineLvl w:val="0"/>
        <w:rPr>
          <w:rFonts w:hint="eastAsia" w:ascii="仿宋" w:hAnsi="仿宋" w:eastAsia="仿宋" w:cs="仿宋"/>
          <w:sz w:val="32"/>
          <w:szCs w:val="32"/>
          <w:lang w:bidi="ar-SA"/>
        </w:rPr>
      </w:pPr>
      <w:r>
        <w:rPr>
          <w:rFonts w:hint="eastAsia" w:ascii="仿宋" w:hAnsi="仿宋" w:eastAsia="仿宋" w:cs="仿宋"/>
          <w:sz w:val="32"/>
          <w:szCs w:val="32"/>
          <w:lang w:bidi="ar-SA"/>
        </w:rPr>
        <w:t>本项目的实施响应国家军队离休退休干部移交政府安置管理政策，从根本上解决海口市没有军队离休退休干部服务管理机构用房的现状，充分利用闲置国有资产的同时又盘活中央专项资金，社会效益和经济效益显著。</w:t>
      </w: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（四）项目的可持续性分析</w:t>
      </w: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项目完成后，提高了海口市军队离退休干部服务保障能力。军休中心根据军队 改革的实际需要，计划在今后5年内，接收大批移交地方政府安置的军休干部。</w:t>
      </w:r>
    </w:p>
    <w:p>
      <w:pPr>
        <w:spacing w:line="578" w:lineRule="exact"/>
        <w:ind w:firstLine="640" w:firstLineChars="200"/>
        <w:outlineLvl w:val="0"/>
        <w:rPr>
          <w:rFonts w:hint="eastAsia" w:ascii="仿宋" w:hAnsi="仿宋" w:eastAsia="仿宋" w:cs="仿宋"/>
          <w:bCs/>
          <w:color w:val="000000"/>
          <w:sz w:val="32"/>
          <w:szCs w:val="32"/>
          <w:lang w:bidi="ar-SA"/>
        </w:rPr>
      </w:pPr>
    </w:p>
    <w:p>
      <w:pPr>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（五）项目绩效指标完成情况分析</w:t>
      </w:r>
    </w:p>
    <w:p>
      <w:pPr>
        <w:widowControl w:val="0"/>
        <w:numPr>
          <w:ilvl w:val="0"/>
          <w:numId w:val="0"/>
        </w:numPr>
        <w:tabs>
          <w:tab w:val="left" w:pos="878"/>
        </w:tabs>
        <w:spacing w:line="578" w:lineRule="exact"/>
        <w:ind w:left="480" w:leftChars="0" w:firstLine="320" w:firstLineChars="100"/>
        <w:jc w:val="both"/>
        <w:outlineLvl w:val="0"/>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1、项目决策指标分析</w:t>
      </w:r>
    </w:p>
    <w:p>
      <w:pPr>
        <w:tabs>
          <w:tab w:val="left" w:pos="878"/>
        </w:tabs>
        <w:spacing w:line="578" w:lineRule="exact"/>
        <w:ind w:left="48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（1）目标内容（分值：4分,得分4分）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指标解释：目标是否明确、细化、量化。</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评价标准：目标明确（1分），目标细化（1分），目标量化（2分）。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数据来源：可行性研究报告、立项报告、立项批复、概预算批复。</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指标得分：根据评价标准，本指标得4分。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得分依据：项目目标系解决海口市没有军休干部服务管理机构用房问题，项目内容包括建筑部分、安装部分及购置相应配套设备，项目投资总额939.13万元，目标明确、细化、量化，得4分。</w:t>
      </w:r>
    </w:p>
    <w:p>
      <w:pPr>
        <w:tabs>
          <w:tab w:val="left" w:pos="878"/>
        </w:tabs>
        <w:spacing w:line="578" w:lineRule="exact"/>
        <w:ind w:left="48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（2）决策依据（分值：3分,得分2分）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指标解释：项目是否符合经济社会发展规划和部门年度工作计划；是否根据需要制定中长期实施规划。</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评价标准：项目符合经济社会发展规划和部门年度工作计划（2分），根据需要制定中长期实施规划（1分）。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数据来源：《关于批复2019年市本级部门预算的通知》（海财预〔2019〕1430号）；</w:t>
      </w:r>
      <w:bookmarkStart w:id="1" w:name="_Hlk37259822"/>
      <w:r>
        <w:rPr>
          <w:rFonts w:hint="eastAsia" w:ascii="仿宋" w:hAnsi="仿宋" w:eastAsia="仿宋" w:cs="仿宋"/>
          <w:bCs/>
          <w:color w:val="000000"/>
          <w:sz w:val="32"/>
          <w:szCs w:val="32"/>
          <w:lang w:bidi="ar-SA"/>
        </w:rPr>
        <w:t>可行性研究报告</w:t>
      </w:r>
      <w:bookmarkEnd w:id="1"/>
      <w:r>
        <w:rPr>
          <w:rFonts w:hint="eastAsia" w:ascii="仿宋" w:hAnsi="仿宋" w:eastAsia="仿宋" w:cs="仿宋"/>
          <w:bCs/>
          <w:color w:val="000000"/>
          <w:sz w:val="32"/>
          <w:szCs w:val="32"/>
          <w:lang w:bidi="ar-SA"/>
        </w:rPr>
        <w:t>。</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bookmarkStart w:id="2" w:name="_Hlk37260748"/>
      <w:r>
        <w:rPr>
          <w:rFonts w:hint="eastAsia" w:ascii="仿宋" w:hAnsi="仿宋" w:eastAsia="仿宋" w:cs="仿宋"/>
          <w:bCs/>
          <w:color w:val="000000"/>
          <w:sz w:val="32"/>
          <w:szCs w:val="32"/>
          <w:lang w:bidi="ar-SA"/>
        </w:rPr>
        <w:t>得分依据：</w:t>
      </w:r>
      <w:bookmarkEnd w:id="2"/>
      <w:r>
        <w:rPr>
          <w:rFonts w:hint="eastAsia" w:ascii="仿宋" w:hAnsi="仿宋" w:eastAsia="仿宋" w:cs="仿宋"/>
          <w:bCs/>
          <w:color w:val="000000"/>
          <w:sz w:val="32"/>
          <w:szCs w:val="32"/>
          <w:lang w:bidi="ar-SA"/>
        </w:rPr>
        <w:t>根据可行性研究报告的分析和海口市财政局《关于批复2019年市本级部门预算的通知》（海财预〔2019〕1430号）的批复，按照资金用途开展实施项目，符合经济社会发展规划和部门年度工作计划，得2分；未制定中长期实施规划，得0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（3）决策程序（分值：5分,得分5分）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指标解释：项目是否符合申报条件；申报、批复程序是否符合相关管理办法；项目调整是否履行相应手续。</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评价标准：项目符合申报条件（2分），申报、批复程序符合相关管理办法（2分），项目实施调整履行相应手续（1分）。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数据来源：《关于批复2019年市本级部门预算的通知》（海财预〔2019〕1430号）、立项报告、立项批复、概预算批复。</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指标得分：根据评价标准，本指标得5分。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根据立项批复、概预算批复确定预算金额，根据《关于批复2019年市本级部门预算的通知》（海财预〔2019〕1430号）的批复下达项目资金，该项目符合申报条件，申报、批复程序符合相关管理办法，项目实施履行了相应的手续。</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（4）分配办法（分值：2分,得分0分）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指标解释：是否根据需要制定相关资金管理办法，并在管理办法中明确资金分配办法；资金分配因素是否全面、合理。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评价标准：办法健全、规范（1分），因素选择全面、合理（1分）。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数据来源：无。</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指标得分：根据评价标准，本指标得0分。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得分依据：没有根据项目的需要制定相关资金管理办法。</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（5）分配结果（分值：6分,得分4分）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指标解释：资金分配是否符合相关管理办法；分配结果是否合理。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评价标准：项目符合相关分配办法（2分），资金分配合理（4分）。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数据来源：《海口市政府投资项目委托施工代建合同》、《采购专用合同》及其他相关合同。</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指标得分：根据评价标准，本指标得4分。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得分依据：没有根据项目的需要制定相关资金管理办法。</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p>
    <w:p>
      <w:pPr>
        <w:widowControl w:val="0"/>
        <w:numPr>
          <w:ilvl w:val="0"/>
          <w:numId w:val="0"/>
        </w:numPr>
        <w:tabs>
          <w:tab w:val="left" w:pos="878"/>
        </w:tabs>
        <w:spacing w:line="578" w:lineRule="exact"/>
        <w:ind w:firstLine="640" w:firstLineChars="200"/>
        <w:jc w:val="both"/>
        <w:outlineLvl w:val="0"/>
        <w:rPr>
          <w:rFonts w:hint="eastAsia" w:ascii="仿宋" w:hAnsi="仿宋" w:eastAsia="仿宋" w:cs="仿宋"/>
          <w:bCs/>
          <w:color w:val="000000"/>
          <w:kern w:val="2"/>
          <w:sz w:val="32"/>
          <w:szCs w:val="32"/>
          <w:lang w:val="en-US" w:eastAsia="zh-CN" w:bidi="ar-SA"/>
        </w:rPr>
      </w:pPr>
      <w:r>
        <w:rPr>
          <w:rFonts w:hint="eastAsia" w:ascii="仿宋" w:hAnsi="仿宋" w:eastAsia="仿宋" w:cs="仿宋"/>
          <w:bCs/>
          <w:color w:val="000000"/>
          <w:kern w:val="2"/>
          <w:sz w:val="32"/>
          <w:szCs w:val="32"/>
          <w:lang w:val="en-US" w:eastAsia="zh-CN" w:bidi="ar-SA"/>
        </w:rPr>
        <w:t>2、项目管理指标分析</w:t>
      </w:r>
    </w:p>
    <w:p>
      <w:pPr>
        <w:tabs>
          <w:tab w:val="left" w:pos="878"/>
        </w:tabs>
        <w:spacing w:line="578" w:lineRule="exact"/>
        <w:ind w:left="48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（1）到位率（分值：3分,得分3分）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指标解释：实际到位/计划到位×100%。</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评价标准：根据项目实际到位资金占计划的比重计算得分（3分）。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数据来源：《关于批复2019年市本级部门预算的通知》（海财预〔2019〕1430号）。</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指标得分：3,300,000.00元/3,300,000.00元×100%=100%，到位率100%，本指标得3分（3分*100%=3分）。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得分依据：根据《关于批复2019年市本级部门预算的通知》（海财预〔2019〕1430号）的决定，2019年本项目预算3,300,000.00元,截止2019年12月31日，项目资金下达海口市民政局零余额账户，到位率100%。</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（2）到位时效（分值：2分,得分2分）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指标解释：资金是否及时到位；若未及时到位，是否影响项目进度。</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评价标准：及时到位（2分），未及时到位但未影响项目进度（1.5分），未及时到位并影响项目进度（0-1分）。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 xml:space="preserve">数据来源：《关于批复2019年市本级部门预算的通知》（海财预〔2019〕1430号）。 </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指标得分：本指标得2分。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得分依据：根据《关于批复2019年市本级部门预算的通知》（海财预〔2019〕1430号）的决定，2019年本项目预算3,300,000.00元,截止2019年12月31日，项目资金下达海口市民政局零余额账户，资金及时到位。</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（3）资金使用（分值：7分,得分7分）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指标解释：是否存在支出依据不合规、虚列项目支出的情况；是否存在截留、挤占、挪用项目资金情况；是否存在超标准开支情况。</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评价标准：虚列（套取）扣4-7分，支出依据不合规扣1分，截留、挤占、挪用扣3-6分，资金使用效率不高、超标准开支扣2-5分。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数据来源：《海口市政府投资项目委托施工代建合同》、《采购专用合同》及其他相关合同和项目支出凭证。</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指标得分：根据评价标准，本指标得7分。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得分依据：经审查，未发现存在支出依据不合规、虚列项目支出、截留、挤占、挪用项目资金及超标准开支情况。</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（4）财务管理（分值：3分,得分2分）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指标解释：资金管理、费用支出等制度是否健全，是否严格执行；会计核算是否规范。</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评价标准：财务制度健全（1分），严格执行制度（1分），会计核算规范（1分）。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数据来源：《海口市民政局财务收支管理办法》、《海口市民政局建设项目管理办法》、《海口市民政局政府采购管理办法》、《海口市民政局“三重一大”制度》等内控制度和项目支出凭证。</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得分依据：项目资金支付按照相关内控制度执行，会计核算符合相关《会计法》规范要求，但是并未针对此项目建立单独的资金管理、费用支出管理办法，扣1分。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（5）组织机构（分值：1分,得分1分）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指标解释：机构是否健全、分工是否明确。</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评价标准：机构健全、分工明确（1分）。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数据来源：《市军队离休退休干部活动中心关于购置服务管理机构用房工作方案》。</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bookmarkStart w:id="3" w:name="_Hlk37263069"/>
      <w:r>
        <w:rPr>
          <w:rFonts w:hint="eastAsia" w:ascii="仿宋" w:hAnsi="仿宋" w:eastAsia="仿宋" w:cs="仿宋"/>
          <w:bCs/>
          <w:color w:val="000000"/>
          <w:sz w:val="32"/>
          <w:szCs w:val="32"/>
          <w:lang w:bidi="ar-SA"/>
        </w:rPr>
        <w:t>得分依据：</w:t>
      </w:r>
      <w:bookmarkEnd w:id="3"/>
      <w:r>
        <w:rPr>
          <w:rFonts w:hint="eastAsia" w:ascii="仿宋" w:hAnsi="仿宋" w:eastAsia="仿宋" w:cs="仿宋"/>
          <w:bCs/>
          <w:color w:val="000000"/>
          <w:sz w:val="32"/>
          <w:szCs w:val="32"/>
          <w:lang w:bidi="ar-SA"/>
        </w:rPr>
        <w:t>根据《工作方案》成立项目领导小组，领导小组下设办公室。小组领导指导决策，办公室具体负责推进并抓好日常有关工作的落实，分工明确。</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（6）管理制度（分值：9分,得分9分）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指标解释：是否建立健全项目管理制度；是否严格执行相关项目管理制度。</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评价标准：建立健全项目管理制度（2分）；严格执行相关项目管理制度（7分）。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数据来源：《海口市民政局建设项目管理办法》。</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指标得分：根据评价标准，本指标得9分。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得分依据：海口市民政局建立了项目管理制度，并严格按照该制度执行（得9分）。</w:t>
      </w:r>
    </w:p>
    <w:p>
      <w:pPr>
        <w:widowControl w:val="0"/>
        <w:numPr>
          <w:ilvl w:val="0"/>
          <w:numId w:val="1"/>
        </w:numPr>
        <w:tabs>
          <w:tab w:val="left" w:pos="878"/>
        </w:tabs>
        <w:spacing w:line="578" w:lineRule="exact"/>
        <w:ind w:left="480" w:leftChars="0"/>
        <w:jc w:val="both"/>
        <w:outlineLvl w:val="0"/>
        <w:rPr>
          <w:rFonts w:hint="eastAsia" w:ascii="仿宋" w:hAnsi="仿宋" w:eastAsia="仿宋" w:cs="仿宋"/>
          <w:bCs/>
          <w:color w:val="000000"/>
          <w:sz w:val="32"/>
          <w:szCs w:val="32"/>
          <w:lang w:bidi="ar-SA"/>
        </w:rPr>
      </w:pPr>
      <w:r>
        <w:rPr>
          <w:rFonts w:hint="eastAsia" w:ascii="仿宋" w:hAnsi="仿宋" w:eastAsia="仿宋" w:cs="仿宋"/>
          <w:bCs/>
          <w:color w:val="000000"/>
          <w:kern w:val="2"/>
          <w:sz w:val="32"/>
          <w:szCs w:val="32"/>
          <w:lang w:val="en-US" w:eastAsia="zh-CN" w:bidi="ar-SA"/>
        </w:rPr>
        <w:t>项目绩效指标分析</w:t>
      </w:r>
    </w:p>
    <w:p>
      <w:pPr>
        <w:widowControl w:val="0"/>
        <w:numPr>
          <w:ilvl w:val="0"/>
          <w:numId w:val="0"/>
        </w:numPr>
        <w:tabs>
          <w:tab w:val="left" w:pos="878"/>
        </w:tabs>
        <w:spacing w:line="578" w:lineRule="exact"/>
        <w:ind w:firstLine="640" w:firstLineChars="200"/>
        <w:jc w:val="both"/>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（1）产出数量（分值：8分,得分5分）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指标解释：项目产出数量是否达到绩效目标。</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评价标准：对照绩效目标评价产出数量（按优8分、良5分、中2分、差0分进行评分）。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数据来源：《工程竣工验收报告》、《军休活动中心项目采购设备清单》。</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 xml:space="preserve">指标得分：根据评价标准，本指标得5分。 </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年初确定的绩效目标为完成工作人员办公用房、军休干部大学（琴棋书画、说唱技演等文化娱乐培训教育使用）多功能会议室、党务建设工作用房、荣誉室、阅览室、接待用房、厨房、餐厅、车库等维修改造工程。目前，除消防水泵和消防控制室因产权问题无法施工外，其他部分已于2019年9月竣工验收，主要专用设备于2019年10月完成安装验收。因尚未达到可使用条件，按良评分，得分5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（2）产出质量（分值：8分,得分5分）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指标解释：项目产出质量是否达到绩效目标。</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评价标准：对照绩效目标评价产出质量（按优8分、良5分、中2分、差0分进行评分）。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数据来源：《工程竣工验收报告》。</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指标得分：根据评价标准，本指标得5分。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得分依据：因消防系统尚未改造完成，军休中心机构用房未达到可使用条件，按良评分，得分5分。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（3）产出时效（分值：3分,得分2分）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指标解释：项目产出时效是否达到绩效目标。</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评价标准：对照绩效目标评价产出时效（按优3分、良2分、中1分、差0分进行评分）。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数据来源：《工程竣工验收报告》。</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得分依据：消防系统改造尚未完成，按良评分，本指标得2分。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（4）产出成本（分值：3分,得分3分）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指标解释：项目产出成本是否按绩效目标控制。</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得分依据：对照绩效目标评价产出成本（按优3分、良2分、中1分、差0分进行评分）。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数据来源：《关于批复2019年市本级部门预算的通知》（海财预〔2019〕1430号），项目支出凭证。</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指标得分：根据评价标准，本指标得3分。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得分依据：2019年度本项目预算金额3,300,000.00元，支出总额2,989,637.16元，项目支出在预算控制范围内（得3分）。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（5）经济效益（分值：8分,得分8分）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指标解释：项目实施是否产生直接或间接经济效益。</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评价标准：对照绩效目标评价经济效益（按优8分、良5分、中2分、差0分进行评分）。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数据来源：立项批复。</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指标得分：根据评价标准，本指标得5分。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bookmarkStart w:id="4" w:name="_Hlk37320650"/>
      <w:r>
        <w:rPr>
          <w:rFonts w:hint="eastAsia" w:ascii="仿宋" w:hAnsi="仿宋" w:eastAsia="仿宋" w:cs="仿宋"/>
          <w:bCs/>
          <w:color w:val="000000"/>
          <w:sz w:val="32"/>
          <w:szCs w:val="32"/>
          <w:lang w:bidi="ar-SA"/>
        </w:rPr>
        <w:t>得分依据：</w:t>
      </w:r>
      <w:bookmarkEnd w:id="4"/>
      <w:r>
        <w:rPr>
          <w:rFonts w:hint="eastAsia" w:ascii="仿宋" w:hAnsi="仿宋" w:eastAsia="仿宋" w:cs="仿宋"/>
          <w:bCs/>
          <w:color w:val="000000"/>
          <w:sz w:val="32"/>
          <w:szCs w:val="32"/>
          <w:lang w:bidi="ar-SA"/>
        </w:rPr>
        <w:t>充分利用闲置国有资产的同时又盘活中央专项资金，经济效益明显（按优8分）。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（6）社会效益（分值：8分,得分8分）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指标解释：项目实施是否产生社会综合效益。</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评价标准：对照绩效目标评价社会效益（按优8分、良5分、中2分、差0分进行评分）。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数据来源：立项批复。</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指标得分：根据评价标准，本指标得8分。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本项目的实施响应国家政策的需要，从根本上解决海口市没有军队离休退休干部服务管理机构用房的现状，有利于军休干部开展文化娱乐活动，还可以促进海口市“双拥模范城”的评选工作，是一项为民、惠民、利民工程，社会效益显著（按优8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（7）环境效益（分值：8分,得分2分）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指标解释：项目实施是否对环境产生积极或消极影响。</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评价标准：对照绩效目标评价环境效益（按优8分、良5分、中2分、差0分进行评分）。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数据来源：无。</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得分依据：本项目的实施，对周边环境影响变化不大（按中2分）。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（8）可持续影响（分值：8分,得分8分）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指标解释:项目实施对人、自然、资源是否带来可持续影响。</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评价标准：对照绩效目标评价可持续影响（按优8分、良5分、中2分、差0分进行评分）。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数据来源：无。</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指标得分：根据评价标准，本指标得8分。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得分依据：本项目的实施符合海口市总体规划，切实提高海口市军队离退休干部服务保障能力，为今后接收大批移交地方政府安置的军休干部做好充分准备（按优8分）。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（9）服务对象满意度（分值：1分,得分1分）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指标解释:服务对象对项目实施效果的满意程度。</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评价标准：项目的实施满足服务对象需求（1分）；因项目尚未投入使用，无法开展针对该项目实施后的满意度调查（0分）。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数据来源：无。</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指标得分：根据评价标准，本指标得1分。</w:t>
      </w:r>
    </w:p>
    <w:p>
      <w:pPr>
        <w:tabs>
          <w:tab w:val="left" w:pos="878"/>
        </w:tabs>
        <w:spacing w:line="578" w:lineRule="exact"/>
        <w:ind w:firstLine="640" w:firstLineChars="200"/>
        <w:outlineLvl w:val="0"/>
        <w:rPr>
          <w:rFonts w:hint="eastAsia" w:ascii="仿宋" w:hAnsi="仿宋" w:eastAsia="仿宋" w:cs="仿宋"/>
          <w:bCs/>
          <w:color w:val="000000"/>
          <w:sz w:val="32"/>
          <w:szCs w:val="32"/>
          <w:lang w:bidi="ar-SA"/>
        </w:rPr>
      </w:pPr>
      <w:r>
        <w:rPr>
          <w:rFonts w:hint="eastAsia" w:ascii="仿宋" w:hAnsi="仿宋" w:eastAsia="仿宋" w:cs="仿宋"/>
          <w:bCs/>
          <w:color w:val="000000"/>
          <w:sz w:val="32"/>
          <w:szCs w:val="32"/>
          <w:lang w:bidi="ar-SA"/>
        </w:rPr>
        <w:t>得分依据：项目的实施为服务对象所乐见。</w:t>
      </w:r>
    </w:p>
    <w:p>
      <w:pPr>
        <w:tabs>
          <w:tab w:val="left" w:pos="878"/>
        </w:tabs>
        <w:spacing w:line="578" w:lineRule="exact"/>
        <w:ind w:firstLine="640" w:firstLineChars="20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五、综合评价情况及评价结论</w:t>
      </w:r>
    </w:p>
    <w:p>
      <w:pPr>
        <w:tabs>
          <w:tab w:val="left" w:pos="878"/>
        </w:tabs>
        <w:spacing w:line="578" w:lineRule="exact"/>
        <w:ind w:firstLine="48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（一）综合评价情况</w:t>
      </w:r>
    </w:p>
    <w:tbl>
      <w:tblPr>
        <w:tblStyle w:val="4"/>
        <w:tblW w:w="8689" w:type="dxa"/>
        <w:tblInd w:w="113" w:type="dxa"/>
        <w:tblLayout w:type="fixed"/>
        <w:tblCellMar>
          <w:top w:w="0" w:type="dxa"/>
          <w:left w:w="108" w:type="dxa"/>
          <w:bottom w:w="0" w:type="dxa"/>
          <w:right w:w="108" w:type="dxa"/>
        </w:tblCellMar>
      </w:tblPr>
      <w:tblGrid>
        <w:gridCol w:w="1360"/>
        <w:gridCol w:w="1000"/>
        <w:gridCol w:w="1529"/>
        <w:gridCol w:w="990"/>
        <w:gridCol w:w="1680"/>
        <w:gridCol w:w="1005"/>
        <w:gridCol w:w="1125"/>
      </w:tblGrid>
      <w:tr>
        <w:tblPrEx>
          <w:tblLayout w:type="fixed"/>
          <w:tblCellMar>
            <w:top w:w="0" w:type="dxa"/>
            <w:left w:w="108" w:type="dxa"/>
            <w:bottom w:w="0" w:type="dxa"/>
            <w:right w:w="108" w:type="dxa"/>
          </w:tblCellMar>
        </w:tblPrEx>
        <w:trPr>
          <w:trHeight w:val="557" w:hRule="atLeast"/>
        </w:trPr>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一级指标</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分值</w:t>
            </w:r>
          </w:p>
        </w:tc>
        <w:tc>
          <w:tcPr>
            <w:tcW w:w="15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二级指标</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分值</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三级指标</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分值</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指标</w:t>
            </w:r>
          </w:p>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得分</w:t>
            </w:r>
          </w:p>
        </w:tc>
      </w:tr>
      <w:tr>
        <w:tblPrEx>
          <w:tblLayout w:type="fixed"/>
          <w:tblCellMar>
            <w:top w:w="0" w:type="dxa"/>
            <w:left w:w="108" w:type="dxa"/>
            <w:bottom w:w="0" w:type="dxa"/>
            <w:right w:w="108" w:type="dxa"/>
          </w:tblCellMar>
        </w:tblPrEx>
        <w:trPr>
          <w:trHeight w:val="280" w:hRule="atLeast"/>
        </w:trPr>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项目决策</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20</w:t>
            </w:r>
          </w:p>
        </w:tc>
        <w:tc>
          <w:tcPr>
            <w:tcW w:w="15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项目目标</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4</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目标内容</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4</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4</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决策过程</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决策依据</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3</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决策程序</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5</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5</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资金分配</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分配办法</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0</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分配结果</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6</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4</w:t>
            </w:r>
          </w:p>
        </w:tc>
      </w:tr>
      <w:tr>
        <w:tblPrEx>
          <w:tblLayout w:type="fixed"/>
          <w:tblCellMar>
            <w:top w:w="0" w:type="dxa"/>
            <w:left w:w="108" w:type="dxa"/>
            <w:bottom w:w="0" w:type="dxa"/>
            <w:right w:w="108" w:type="dxa"/>
          </w:tblCellMar>
        </w:tblPrEx>
        <w:trPr>
          <w:trHeight w:val="278" w:hRule="atLeast"/>
        </w:trPr>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项目管理</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25</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资金到位</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5</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到位率</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3</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3</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到位时效</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资金管理</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10</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资金使用</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7</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7</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财务管理</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3</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组织实施</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10</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组织机构</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管理制度</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9</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9</w:t>
            </w:r>
          </w:p>
        </w:tc>
      </w:tr>
      <w:tr>
        <w:tblPrEx>
          <w:tblLayout w:type="fixed"/>
          <w:tblCellMar>
            <w:top w:w="0" w:type="dxa"/>
            <w:left w:w="108" w:type="dxa"/>
            <w:bottom w:w="0" w:type="dxa"/>
            <w:right w:w="108" w:type="dxa"/>
          </w:tblCellMar>
        </w:tblPrEx>
        <w:trPr>
          <w:trHeight w:val="280" w:hRule="atLeast"/>
        </w:trPr>
        <w:tc>
          <w:tcPr>
            <w:tcW w:w="13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项目绩效</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55</w:t>
            </w: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项目产出</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22</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产出数量</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5</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产出质量</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5</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产出时效</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3</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产出成本</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3</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3</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项目效益</w:t>
            </w:r>
          </w:p>
        </w:tc>
        <w:tc>
          <w:tcPr>
            <w:tcW w:w="9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33</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经济效益</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社会效益</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r>
      <w:tr>
        <w:tblPrEx>
          <w:tblLayout w:type="fixed"/>
          <w:tblCellMar>
            <w:top w:w="0" w:type="dxa"/>
            <w:left w:w="108" w:type="dxa"/>
            <w:bottom w:w="0" w:type="dxa"/>
            <w:right w:w="108" w:type="dxa"/>
          </w:tblCellMar>
        </w:tblPrEx>
        <w:trPr>
          <w:trHeight w:val="28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环境效益</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w:t>
            </w:r>
          </w:p>
        </w:tc>
      </w:tr>
      <w:tr>
        <w:tblPrEx>
          <w:tblLayout w:type="fixed"/>
          <w:tblCellMar>
            <w:top w:w="0" w:type="dxa"/>
            <w:left w:w="108" w:type="dxa"/>
            <w:bottom w:w="0" w:type="dxa"/>
            <w:right w:w="108" w:type="dxa"/>
          </w:tblCellMar>
        </w:tblPrEx>
        <w:trPr>
          <w:trHeight w:val="54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可持续影响</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w:t>
            </w:r>
          </w:p>
        </w:tc>
      </w:tr>
      <w:tr>
        <w:tblPrEx>
          <w:tblLayout w:type="fixed"/>
          <w:tblCellMar>
            <w:top w:w="0" w:type="dxa"/>
            <w:left w:w="108" w:type="dxa"/>
            <w:bottom w:w="0" w:type="dxa"/>
            <w:right w:w="108" w:type="dxa"/>
          </w:tblCellMar>
        </w:tblPrEx>
        <w:trPr>
          <w:trHeight w:val="540" w:hRule="atLeast"/>
        </w:trPr>
        <w:tc>
          <w:tcPr>
            <w:tcW w:w="1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5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b w:val="0"/>
                <w:bCs w:val="0"/>
                <w:color w:val="000000"/>
                <w:kern w:val="0"/>
                <w:sz w:val="28"/>
                <w:szCs w:val="28"/>
                <w:lang w:bidi="ar-SA"/>
              </w:rPr>
            </w:pP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0"/>
                <w:szCs w:val="20"/>
                <w:lang w:bidi="ar-SA"/>
              </w:rPr>
              <w:t>服务对象满意度</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w:t>
            </w:r>
          </w:p>
        </w:tc>
      </w:tr>
      <w:tr>
        <w:tblPrEx>
          <w:tblLayout w:type="fixed"/>
          <w:tblCellMar>
            <w:top w:w="0" w:type="dxa"/>
            <w:left w:w="108" w:type="dxa"/>
            <w:bottom w:w="0" w:type="dxa"/>
            <w:right w:w="108" w:type="dxa"/>
          </w:tblCellMar>
        </w:tblPrEx>
        <w:trPr>
          <w:trHeight w:val="280" w:hRule="atLeast"/>
        </w:trPr>
        <w:tc>
          <w:tcPr>
            <w:tcW w:w="13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总分</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100</w:t>
            </w:r>
          </w:p>
        </w:tc>
        <w:tc>
          <w:tcPr>
            <w:tcW w:w="15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　</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100</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　</w:t>
            </w:r>
          </w:p>
        </w:tc>
        <w:tc>
          <w:tcPr>
            <w:tcW w:w="100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100</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81</w:t>
            </w:r>
          </w:p>
        </w:tc>
      </w:tr>
    </w:tbl>
    <w:p>
      <w:pPr>
        <w:tabs>
          <w:tab w:val="left" w:pos="878"/>
        </w:tabs>
        <w:spacing w:line="578" w:lineRule="exact"/>
        <w:ind w:firstLine="48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（二）绩效评价结论</w:t>
      </w:r>
    </w:p>
    <w:p>
      <w:pPr>
        <w:tabs>
          <w:tab w:val="left" w:pos="878"/>
        </w:tabs>
        <w:spacing w:line="578" w:lineRule="exact"/>
        <w:ind w:firstLine="48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军休中心机构用房维修改造项目2019年总体评分为81分，综合评价认定等级为“良”。</w:t>
      </w:r>
    </w:p>
    <w:tbl>
      <w:tblPr>
        <w:tblStyle w:val="4"/>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701"/>
        <w:gridCol w:w="1701"/>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blHeader/>
        </w:trPr>
        <w:tc>
          <w:tcPr>
            <w:tcW w:w="2000"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评价准则</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分值</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实际得分</w:t>
            </w:r>
          </w:p>
        </w:tc>
        <w:tc>
          <w:tcPr>
            <w:tcW w:w="1417"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绩效等级</w:t>
            </w:r>
          </w:p>
        </w:tc>
        <w:tc>
          <w:tcPr>
            <w:tcW w:w="1985"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绩效等级说明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000"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项目决策</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20</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15</w:t>
            </w:r>
          </w:p>
        </w:tc>
        <w:tc>
          <w:tcPr>
            <w:tcW w:w="1417" w:type="dxa"/>
            <w:vMerge w:val="restart"/>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良</w:t>
            </w:r>
          </w:p>
        </w:tc>
        <w:tc>
          <w:tcPr>
            <w:tcW w:w="1985" w:type="dxa"/>
            <w:vMerge w:val="restart"/>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评价总得分在90分(含)以上为优;80（含）-90分为良；60（含）-80分为中；60分以下为差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2000"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项目管理</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25</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24</w:t>
            </w:r>
          </w:p>
        </w:tc>
        <w:tc>
          <w:tcPr>
            <w:tcW w:w="1417" w:type="dxa"/>
            <w:vMerge w:val="continue"/>
            <w:vAlign w:val="center"/>
          </w:tcPr>
          <w:p>
            <w:pPr>
              <w:widowControl/>
              <w:jc w:val="center"/>
              <w:rPr>
                <w:rFonts w:hint="eastAsia" w:ascii="仿宋" w:hAnsi="仿宋" w:eastAsia="仿宋" w:cs="仿宋"/>
                <w:b w:val="0"/>
                <w:bCs w:val="0"/>
                <w:color w:val="000000"/>
                <w:kern w:val="0"/>
                <w:sz w:val="28"/>
                <w:szCs w:val="28"/>
                <w:lang w:bidi="ar-SA"/>
              </w:rPr>
            </w:pPr>
          </w:p>
        </w:tc>
        <w:tc>
          <w:tcPr>
            <w:tcW w:w="1985" w:type="dxa"/>
            <w:vMerge w:val="continue"/>
            <w:vAlign w:val="center"/>
          </w:tcPr>
          <w:p>
            <w:pPr>
              <w:widowControl/>
              <w:jc w:val="center"/>
              <w:rPr>
                <w:rFonts w:hint="eastAsia" w:ascii="仿宋" w:hAnsi="仿宋" w:eastAsia="仿宋" w:cs="仿宋"/>
                <w:b w:val="0"/>
                <w:bCs w:val="0"/>
                <w:color w:val="000000"/>
                <w:kern w:val="0"/>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000"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项目绩效</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55</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42</w:t>
            </w:r>
          </w:p>
        </w:tc>
        <w:tc>
          <w:tcPr>
            <w:tcW w:w="1417" w:type="dxa"/>
            <w:vMerge w:val="continue"/>
            <w:vAlign w:val="center"/>
          </w:tcPr>
          <w:p>
            <w:pPr>
              <w:widowControl/>
              <w:jc w:val="center"/>
              <w:rPr>
                <w:rFonts w:hint="eastAsia" w:ascii="仿宋" w:hAnsi="仿宋" w:eastAsia="仿宋" w:cs="仿宋"/>
                <w:b w:val="0"/>
                <w:bCs w:val="0"/>
                <w:color w:val="000000"/>
                <w:kern w:val="0"/>
                <w:sz w:val="28"/>
                <w:szCs w:val="28"/>
                <w:lang w:bidi="ar-SA"/>
              </w:rPr>
            </w:pPr>
          </w:p>
        </w:tc>
        <w:tc>
          <w:tcPr>
            <w:tcW w:w="1985" w:type="dxa"/>
            <w:vMerge w:val="continue"/>
            <w:vAlign w:val="center"/>
          </w:tcPr>
          <w:p>
            <w:pPr>
              <w:widowControl/>
              <w:jc w:val="center"/>
              <w:rPr>
                <w:rFonts w:hint="eastAsia" w:ascii="仿宋" w:hAnsi="仿宋" w:eastAsia="仿宋" w:cs="仿宋"/>
                <w:b w:val="0"/>
                <w:bCs w:val="0"/>
                <w:color w:val="000000"/>
                <w:kern w:val="0"/>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000"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总分（等级）</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100</w:t>
            </w:r>
          </w:p>
        </w:tc>
        <w:tc>
          <w:tcPr>
            <w:tcW w:w="1701" w:type="dxa"/>
            <w:vAlign w:val="center"/>
          </w:tcPr>
          <w:p>
            <w:pPr>
              <w:widowControl/>
              <w:jc w:val="center"/>
              <w:rPr>
                <w:rFonts w:hint="eastAsia" w:ascii="仿宋" w:hAnsi="仿宋" w:eastAsia="仿宋" w:cs="仿宋"/>
                <w:b w:val="0"/>
                <w:bCs w:val="0"/>
                <w:color w:val="000000"/>
                <w:kern w:val="0"/>
                <w:sz w:val="28"/>
                <w:szCs w:val="28"/>
                <w:lang w:bidi="ar-SA"/>
              </w:rPr>
            </w:pPr>
            <w:r>
              <w:rPr>
                <w:rFonts w:hint="eastAsia" w:ascii="仿宋" w:hAnsi="仿宋" w:eastAsia="仿宋" w:cs="仿宋"/>
                <w:b w:val="0"/>
                <w:bCs w:val="0"/>
                <w:color w:val="000000"/>
                <w:kern w:val="0"/>
                <w:sz w:val="28"/>
                <w:szCs w:val="28"/>
                <w:lang w:bidi="ar-SA"/>
              </w:rPr>
              <w:t>81</w:t>
            </w:r>
          </w:p>
        </w:tc>
        <w:tc>
          <w:tcPr>
            <w:tcW w:w="1417" w:type="dxa"/>
            <w:vMerge w:val="continue"/>
            <w:vAlign w:val="center"/>
          </w:tcPr>
          <w:p>
            <w:pPr>
              <w:widowControl/>
              <w:jc w:val="center"/>
              <w:rPr>
                <w:rFonts w:hint="eastAsia" w:ascii="仿宋" w:hAnsi="仿宋" w:eastAsia="仿宋" w:cs="仿宋"/>
                <w:b w:val="0"/>
                <w:bCs w:val="0"/>
                <w:color w:val="000000"/>
                <w:kern w:val="0"/>
                <w:sz w:val="28"/>
                <w:szCs w:val="28"/>
                <w:lang w:bidi="ar-SA"/>
              </w:rPr>
            </w:pPr>
          </w:p>
        </w:tc>
        <w:tc>
          <w:tcPr>
            <w:tcW w:w="1985" w:type="dxa"/>
            <w:vMerge w:val="continue"/>
            <w:vAlign w:val="center"/>
          </w:tcPr>
          <w:p>
            <w:pPr>
              <w:widowControl/>
              <w:jc w:val="center"/>
              <w:rPr>
                <w:rFonts w:hint="eastAsia" w:ascii="仿宋" w:hAnsi="仿宋" w:eastAsia="仿宋" w:cs="仿宋"/>
                <w:b w:val="0"/>
                <w:bCs w:val="0"/>
                <w:color w:val="000000"/>
                <w:kern w:val="0"/>
                <w:sz w:val="28"/>
                <w:szCs w:val="28"/>
                <w:lang w:bidi="ar-SA"/>
              </w:rPr>
            </w:pPr>
          </w:p>
        </w:tc>
      </w:tr>
    </w:tbl>
    <w:p>
      <w:pPr>
        <w:spacing w:line="578" w:lineRule="exact"/>
        <w:ind w:firstLine="480"/>
        <w:outlineLvl w:val="0"/>
        <w:rPr>
          <w:rFonts w:hint="eastAsia" w:ascii="仿宋" w:hAnsi="仿宋" w:eastAsia="仿宋" w:cs="仿宋"/>
          <w:b w:val="0"/>
          <w:bCs w:val="0"/>
          <w:sz w:val="28"/>
          <w:szCs w:val="28"/>
          <w:lang w:bidi="ar-SA"/>
        </w:rPr>
      </w:pPr>
    </w:p>
    <w:p>
      <w:pPr>
        <w:spacing w:line="578" w:lineRule="exact"/>
        <w:ind w:firstLine="48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六、主要经验及做法、存在的问题和建议</w:t>
      </w:r>
    </w:p>
    <w:p>
      <w:pPr>
        <w:spacing w:line="578" w:lineRule="exact"/>
        <w:ind w:firstLine="48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（一）主要经验及做法</w:t>
      </w:r>
    </w:p>
    <w:p>
      <w:pPr>
        <w:spacing w:line="578" w:lineRule="exact"/>
        <w:ind w:firstLine="640" w:firstLineChars="20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项目立项和项目管理按照《海口市政府投资项目管理规定》（海府〔2017〕99 号）的相关规定执行，在实施过程中按照合同条款支付款项，并在支付流程中严格会计核算规范程序，从根本上确保项目资金使用安全。</w:t>
      </w:r>
    </w:p>
    <w:p>
      <w:pPr>
        <w:spacing w:line="578" w:lineRule="exact"/>
        <w:ind w:firstLine="48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（二）存在的问题</w:t>
      </w:r>
    </w:p>
    <w:p>
      <w:pPr>
        <w:spacing w:line="578" w:lineRule="exact"/>
        <w:ind w:firstLine="640" w:firstLineChars="20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1、预算编制不准确，导致出现资金结余。2019年度本项目预算金额3,300,000.00元，实际支出金额2,989,637.16，资金结余310,362.14元。</w:t>
      </w:r>
    </w:p>
    <w:p>
      <w:pPr>
        <w:spacing w:line="578" w:lineRule="exact"/>
        <w:ind w:firstLine="640" w:firstLineChars="20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2、工程竣工验收工作不严谨。《工程竣工验收报告》未注明验收日期；消防水泵和消防控制室因产权原因未能施工，出具的《工程竣工验收报告》中已签署验收合格意见。</w:t>
      </w:r>
    </w:p>
    <w:p>
      <w:pPr>
        <w:spacing w:line="578" w:lineRule="exact"/>
        <w:ind w:firstLine="640" w:firstLineChars="20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3、项目档案管理工作不细致，未能及时从项目实施相关单位处收集归档项目资料，存档的项目小组会议纪要不完整。</w:t>
      </w:r>
    </w:p>
    <w:p>
      <w:pPr>
        <w:spacing w:line="578" w:lineRule="exact"/>
        <w:ind w:firstLine="640" w:firstLineChars="200"/>
        <w:outlineLvl w:val="0"/>
        <w:rPr>
          <w:rFonts w:hint="eastAsia" w:ascii="仿宋" w:hAnsi="仿宋" w:eastAsia="仿宋" w:cs="仿宋"/>
          <w:bCs/>
          <w:sz w:val="32"/>
          <w:szCs w:val="32"/>
          <w:lang w:bidi="ar-SA"/>
        </w:rPr>
      </w:pPr>
      <w:r>
        <w:rPr>
          <w:rFonts w:hint="eastAsia" w:ascii="仿宋" w:hAnsi="仿宋" w:eastAsia="仿宋" w:cs="仿宋"/>
          <w:bCs/>
          <w:sz w:val="32"/>
          <w:szCs w:val="32"/>
          <w:lang w:bidi="ar-SA"/>
        </w:rPr>
        <w:t>（三）建议</w:t>
      </w:r>
    </w:p>
    <w:p>
      <w:pPr>
        <w:spacing w:line="578" w:lineRule="exact"/>
        <w:ind w:firstLine="640" w:firstLineChars="200"/>
        <w:outlineLvl w:val="0"/>
        <w:rPr>
          <w:rFonts w:hint="eastAsia" w:ascii="仿宋" w:hAnsi="仿宋" w:eastAsia="仿宋" w:cs="仿宋"/>
          <w:sz w:val="32"/>
          <w:szCs w:val="32"/>
          <w:lang w:bidi="ar-SA"/>
        </w:rPr>
      </w:pPr>
      <w:r>
        <w:rPr>
          <w:rFonts w:hint="eastAsia" w:ascii="仿宋" w:hAnsi="仿宋" w:eastAsia="仿宋" w:cs="仿宋"/>
          <w:sz w:val="32"/>
          <w:szCs w:val="32"/>
          <w:lang w:bidi="ar-SA"/>
        </w:rPr>
        <w:t>1、建议切实加强项目后期管理，明确各项工作人员安排和职责范围。</w:t>
      </w:r>
    </w:p>
    <w:p>
      <w:pPr>
        <w:spacing w:line="578" w:lineRule="exact"/>
        <w:ind w:firstLine="640" w:firstLineChars="200"/>
        <w:outlineLvl w:val="0"/>
        <w:rPr>
          <w:rFonts w:hint="eastAsia" w:ascii="仿宋" w:hAnsi="仿宋" w:eastAsia="仿宋" w:cs="仿宋"/>
          <w:sz w:val="32"/>
          <w:szCs w:val="32"/>
          <w:lang w:bidi="ar-SA"/>
        </w:rPr>
      </w:pPr>
      <w:r>
        <w:rPr>
          <w:rFonts w:hint="eastAsia" w:ascii="仿宋" w:hAnsi="仿宋" w:eastAsia="仿宋" w:cs="仿宋"/>
          <w:sz w:val="32"/>
          <w:szCs w:val="32"/>
          <w:lang w:bidi="ar-SA"/>
        </w:rPr>
        <w:t>2、建议年度项目预算编制工作要更细致，避免造成项目资金闲置或不足。</w:t>
      </w:r>
    </w:p>
    <w:p>
      <w:pPr>
        <w:rPr>
          <w:rFonts w:hint="eastAsia" w:ascii="仿宋" w:hAnsi="仿宋" w:eastAsia="仿宋" w:cs="仿宋"/>
          <w:sz w:val="32"/>
          <w:szCs w:val="32"/>
          <w:lang w:bidi="ar-SA"/>
        </w:rPr>
      </w:pPr>
    </w:p>
    <w:p>
      <w:pPr>
        <w:spacing w:line="578" w:lineRule="exact"/>
        <w:outlineLvl w:val="0"/>
        <w:rPr>
          <w:rFonts w:hint="eastAsia" w:ascii="仿宋" w:hAnsi="仿宋" w:eastAsia="仿宋" w:cs="仿宋"/>
          <w:color w:val="000000"/>
          <w:sz w:val="32"/>
          <w:szCs w:val="32"/>
        </w:rPr>
      </w:pPr>
    </w:p>
    <w:sectPr>
      <w:footerReference r:id="rId3" w:type="default"/>
      <w:pgSz w:w="11906" w:h="16838"/>
      <w:pgMar w:top="2098" w:right="1587"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C6FE4"/>
    <w:multiLevelType w:val="singleLevel"/>
    <w:tmpl w:val="51FC6FE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0955A96"/>
    <w:rsid w:val="0CE22F77"/>
    <w:rsid w:val="0EBC662D"/>
    <w:rsid w:val="118A73CA"/>
    <w:rsid w:val="13A0397F"/>
    <w:rsid w:val="1C2F2A35"/>
    <w:rsid w:val="22DA31CA"/>
    <w:rsid w:val="259432D3"/>
    <w:rsid w:val="28442410"/>
    <w:rsid w:val="28887FEA"/>
    <w:rsid w:val="34450B3B"/>
    <w:rsid w:val="34567A3D"/>
    <w:rsid w:val="4400059A"/>
    <w:rsid w:val="4EAF4FFC"/>
    <w:rsid w:val="547F3D5E"/>
    <w:rsid w:val="72256765"/>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列出段落"/>
    <w:basedOn w:val="1"/>
    <w:qFormat/>
    <w:uiPriority w:val="0"/>
    <w:pPr>
      <w:spacing w:line="360" w:lineRule="auto"/>
      <w:ind w:firstLine="420" w:firstLineChars="200"/>
    </w:pPr>
    <w:rPr>
      <w:rFonts w:ascii="Calibri" w:hAnsi="Calibri" w:eastAsia="宋体"/>
      <w:sz w:val="28"/>
      <w:szCs w:val="22"/>
    </w:rPr>
  </w:style>
  <w:style w:type="paragraph"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Administrator</cp:lastModifiedBy>
  <cp:lastPrinted>2020-04-09T10:16:00Z</cp:lastPrinted>
  <dcterms:modified xsi:type="dcterms:W3CDTF">2020-04-15T01:34:02Z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