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综合事务</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海口市社会福利院</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海口市民政局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 </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u w:val="single"/>
        </w:rPr>
        <w:t xml:space="preserve">日至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18</w:t>
      </w:r>
      <w:r>
        <w:rPr>
          <w:rFonts w:hint="eastAsia" w:ascii="仿宋_GB2312" w:hAnsi="仿宋_GB2312" w:eastAsia="仿宋_GB2312" w:cs="仿宋_GB2312"/>
          <w:sz w:val="32"/>
          <w:szCs w:val="32"/>
          <w:u w:val="single"/>
        </w:rPr>
        <w:t xml:space="preserve">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2020年4月</w:t>
      </w:r>
    </w:p>
    <w:p/>
    <w:p>
      <w:pPr>
        <w:tabs>
          <w:tab w:val="left" w:pos="720"/>
          <w:tab w:val="left" w:pos="3600"/>
        </w:tabs>
        <w:spacing w:line="578" w:lineRule="exact"/>
        <w:jc w:val="left"/>
        <w:rPr>
          <w:rFonts w:hint="eastAsia" w:hAnsi="仿宋_GB2312" w:cs="仿宋_GB2312"/>
          <w:b/>
          <w:bCs/>
          <w:szCs w:val="32"/>
        </w:rPr>
      </w:pPr>
    </w:p>
    <w:p>
      <w:pPr>
        <w:spacing w:line="578" w:lineRule="exact"/>
        <w:rPr>
          <w:rFonts w:hint="eastAsia" w:ascii="楷体" w:hAnsi="楷体" w:eastAsia="楷体" w:cs="楷体"/>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rPr>
        <w:t>-2</w:t>
      </w:r>
    </w:p>
    <w:p>
      <w:pPr>
        <w:pStyle w:val="5"/>
        <w:spacing w:line="578" w:lineRule="exact"/>
        <w:ind w:firstLine="2650" w:firstLineChars="600"/>
        <w:jc w:val="both"/>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lang w:eastAsia="zh-CN"/>
        </w:rPr>
      </w:pPr>
      <w:r>
        <w:rPr>
          <w:rFonts w:hint="eastAsia" w:ascii="宋体" w:hAnsi="宋体" w:eastAsia="宋体"/>
          <w:b/>
          <w:bCs/>
          <w:sz w:val="24"/>
        </w:rPr>
        <w:t>项目名称：</w:t>
      </w:r>
      <w:r>
        <w:rPr>
          <w:rFonts w:hint="eastAsia" w:ascii="宋体" w:hAnsi="宋体"/>
          <w:b/>
          <w:bCs/>
          <w:sz w:val="24"/>
          <w:lang w:eastAsia="zh-CN"/>
        </w:rPr>
        <w:t>综合事务</w:t>
      </w:r>
    </w:p>
    <w:tbl>
      <w:tblPr>
        <w:tblStyle w:val="3"/>
        <w:tblW w:w="11078" w:type="dxa"/>
        <w:jc w:val="center"/>
        <w:tblInd w:w="-2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865"/>
        <w:gridCol w:w="1815"/>
        <w:gridCol w:w="1410"/>
        <w:gridCol w:w="1380"/>
        <w:gridCol w:w="138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2865"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815"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5539"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2865"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815"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410"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1380"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1380"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369"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jc w:val="center"/>
        </w:trPr>
        <w:tc>
          <w:tcPr>
            <w:tcW w:w="859"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2865"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sz w:val="24"/>
                <w:lang w:eastAsia="zh-CN"/>
              </w:rPr>
              <w:t>大院</w:t>
            </w:r>
            <w:r>
              <w:rPr>
                <w:rFonts w:hint="eastAsia" w:ascii="宋体" w:hAnsi="宋体" w:eastAsia="宋体"/>
                <w:sz w:val="24"/>
              </w:rPr>
              <w:t xml:space="preserve"> </w:t>
            </w:r>
            <w:r>
              <w:rPr>
                <w:rFonts w:hint="eastAsia" w:ascii="宋体" w:hAnsi="宋体"/>
                <w:sz w:val="21"/>
                <w:szCs w:val="21"/>
                <w:lang w:eastAsia="zh-CN"/>
              </w:rPr>
              <w:t>设施设备维修维护及行政、党建工作运行</w:t>
            </w:r>
          </w:p>
        </w:tc>
        <w:tc>
          <w:tcPr>
            <w:tcW w:w="1815"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服务工作普及收益率</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120-1</w:t>
            </w:r>
            <w:r>
              <w:rPr>
                <w:rFonts w:hint="eastAsia" w:hAnsi="宋体"/>
                <w:sz w:val="24"/>
                <w:lang w:val="en-US" w:eastAsia="zh-CN"/>
              </w:rPr>
              <w:t>4</w:t>
            </w:r>
            <w:r>
              <w:rPr>
                <w:rFonts w:hint="eastAsia" w:hAnsi="宋体"/>
                <w:sz w:val="24"/>
              </w:rPr>
              <w:t>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100-110人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90-100人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80人以下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jc w:val="center"/>
        </w:trPr>
        <w:tc>
          <w:tcPr>
            <w:tcW w:w="859"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2865" w:type="dxa"/>
            <w:vAlign w:val="center"/>
          </w:tcPr>
          <w:p>
            <w:pPr>
              <w:tabs>
                <w:tab w:val="left" w:pos="720"/>
                <w:tab w:val="left" w:pos="3600"/>
              </w:tabs>
              <w:spacing w:line="360" w:lineRule="exact"/>
              <w:jc w:val="center"/>
              <w:rPr>
                <w:rFonts w:hint="eastAsia" w:ascii="宋体" w:hAnsi="宋体" w:eastAsia="宋体"/>
                <w:sz w:val="24"/>
              </w:rPr>
            </w:pPr>
            <w:r>
              <w:rPr>
                <w:rFonts w:hint="eastAsia" w:ascii="宋体" w:hAnsi="宋体"/>
                <w:color w:val="000000"/>
                <w:sz w:val="21"/>
                <w:shd w:val="clear" w:color="auto" w:fill="FFFFFF"/>
                <w:lang w:eastAsia="zh-CN"/>
              </w:rPr>
              <w:t>救灾物资仓库运行服务费</w:t>
            </w:r>
          </w:p>
        </w:tc>
        <w:tc>
          <w:tcPr>
            <w:tcW w:w="1815"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eastAsia="宋体"/>
                <w:color w:val="000000"/>
                <w:sz w:val="21"/>
                <w:szCs w:val="21"/>
                <w:shd w:val="clear" w:color="auto" w:fill="FFFFFF"/>
              </w:rPr>
              <w:t>提供</w:t>
            </w:r>
            <w:r>
              <w:rPr>
                <w:rFonts w:hint="eastAsia" w:ascii="宋体" w:hAnsi="宋体"/>
                <w:color w:val="000000"/>
                <w:sz w:val="21"/>
                <w:szCs w:val="21"/>
                <w:shd w:val="clear" w:color="auto" w:fill="FFFFFF"/>
                <w:lang w:eastAsia="zh-CN"/>
              </w:rPr>
              <w:t>配套服务</w:t>
            </w:r>
            <w:r>
              <w:rPr>
                <w:rFonts w:hint="eastAsia" w:ascii="宋体" w:hAnsi="宋体" w:eastAsia="宋体"/>
                <w:color w:val="000000"/>
                <w:sz w:val="21"/>
                <w:szCs w:val="21"/>
                <w:shd w:val="clear" w:color="auto" w:fill="FFFFFF"/>
              </w:rPr>
              <w:t>聘用人员工作岗位</w:t>
            </w:r>
            <w:r>
              <w:rPr>
                <w:rFonts w:hint="eastAsia" w:ascii="宋体" w:hAnsi="宋体"/>
                <w:color w:val="000000"/>
                <w:sz w:val="21"/>
                <w:szCs w:val="21"/>
                <w:shd w:val="clear" w:color="auto" w:fill="FFFFFF"/>
                <w:lang w:eastAsia="zh-CN"/>
              </w:rPr>
              <w:t>及运行保障率</w:t>
            </w:r>
          </w:p>
        </w:tc>
        <w:tc>
          <w:tcPr>
            <w:tcW w:w="1410" w:type="dxa"/>
            <w:vAlign w:val="top"/>
          </w:tcPr>
          <w:p>
            <w:pPr>
              <w:tabs>
                <w:tab w:val="left" w:pos="720"/>
                <w:tab w:val="left" w:pos="3600"/>
              </w:tabs>
              <w:spacing w:line="578" w:lineRule="exact"/>
              <w:jc w:val="center"/>
              <w:rPr>
                <w:rFonts w:hint="default" w:ascii="宋体" w:hAnsi="宋体" w:eastAsia="宋体"/>
                <w:sz w:val="24"/>
                <w:lang w:val="en-US"/>
              </w:rPr>
            </w:pPr>
            <w:r>
              <w:rPr>
                <w:rFonts w:hint="eastAsia" w:hAnsi="宋体"/>
                <w:sz w:val="24"/>
                <w:lang w:val="en-US" w:eastAsia="zh-CN"/>
              </w:rPr>
              <w:t>90%</w:t>
            </w:r>
            <w:r>
              <w:rPr>
                <w:rFonts w:hint="eastAsia" w:hAnsi="宋体"/>
                <w:sz w:val="24"/>
              </w:rPr>
              <w:t>-1</w:t>
            </w:r>
            <w:r>
              <w:rPr>
                <w:rFonts w:hint="eastAsia" w:hAnsi="宋体"/>
                <w:sz w:val="24"/>
                <w:lang w:val="en-US" w:eastAsia="zh-CN"/>
              </w:rPr>
              <w:t>00%</w:t>
            </w:r>
          </w:p>
        </w:tc>
        <w:tc>
          <w:tcPr>
            <w:tcW w:w="1380" w:type="dxa"/>
            <w:vAlign w:val="top"/>
          </w:tcPr>
          <w:p>
            <w:pPr>
              <w:tabs>
                <w:tab w:val="left" w:pos="720"/>
                <w:tab w:val="left" w:pos="3600"/>
              </w:tabs>
              <w:spacing w:line="578" w:lineRule="exact"/>
              <w:jc w:val="center"/>
              <w:rPr>
                <w:rFonts w:hint="default" w:ascii="宋体" w:hAnsi="宋体" w:eastAsia="宋体"/>
                <w:sz w:val="24"/>
                <w:lang w:val="en-US"/>
              </w:rPr>
            </w:pPr>
            <w:r>
              <w:rPr>
                <w:rFonts w:hint="eastAsia" w:hAnsi="宋体"/>
                <w:sz w:val="24"/>
                <w:lang w:val="en-US" w:eastAsia="zh-CN"/>
              </w:rPr>
              <w:t>80%</w:t>
            </w:r>
            <w:r>
              <w:rPr>
                <w:rFonts w:hint="eastAsia" w:hAnsi="宋体"/>
                <w:sz w:val="24"/>
              </w:rPr>
              <w:t>-</w:t>
            </w:r>
            <w:r>
              <w:rPr>
                <w:rFonts w:hint="eastAsia" w:hAnsi="宋体"/>
                <w:sz w:val="24"/>
                <w:lang w:val="en-US" w:eastAsia="zh-CN"/>
              </w:rPr>
              <w:t>90%</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70</w:t>
            </w:r>
            <w:r>
              <w:rPr>
                <w:rFonts w:hint="eastAsia" w:hAnsi="宋体"/>
                <w:sz w:val="24"/>
              </w:rPr>
              <w:t>-</w:t>
            </w:r>
            <w:r>
              <w:rPr>
                <w:rFonts w:hint="eastAsia" w:hAnsi="宋体"/>
                <w:sz w:val="24"/>
                <w:lang w:val="en-US" w:eastAsia="zh-CN"/>
              </w:rPr>
              <w:t>80</w:t>
            </w:r>
            <w:r>
              <w:rPr>
                <w:rFonts w:hint="eastAsia" w:hAnsi="宋体"/>
                <w:sz w:val="24"/>
              </w:rPr>
              <w:t>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val="en-US" w:eastAsia="zh-CN"/>
              </w:rPr>
              <w:t>70人以下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859"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2865"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eastAsia="宋体"/>
                <w:sz w:val="24"/>
              </w:rPr>
              <w:t xml:space="preserve"> </w:t>
            </w:r>
            <w:r>
              <w:rPr>
                <w:rFonts w:hint="eastAsia" w:ascii="宋体" w:hAnsi="宋体"/>
                <w:color w:val="000000"/>
                <w:sz w:val="21"/>
                <w:shd w:val="clear" w:color="auto" w:fill="FFFFFF"/>
                <w:lang w:eastAsia="zh-CN"/>
              </w:rPr>
              <w:t>保障院民设施设备正常运转，行政、党建辅助运行</w:t>
            </w:r>
          </w:p>
        </w:tc>
        <w:tc>
          <w:tcPr>
            <w:tcW w:w="1815" w:type="dxa"/>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工作执行完成率</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120-1</w:t>
            </w:r>
            <w:r>
              <w:rPr>
                <w:rFonts w:hint="eastAsia" w:hAnsi="宋体"/>
                <w:sz w:val="24"/>
                <w:lang w:val="en-US" w:eastAsia="zh-CN"/>
              </w:rPr>
              <w:t>4</w:t>
            </w:r>
            <w:r>
              <w:rPr>
                <w:rFonts w:hint="eastAsia" w:hAnsi="宋体"/>
                <w:sz w:val="24"/>
              </w:rPr>
              <w:t>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100-110人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90-100人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80人以下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1" w:hRule="atLeast"/>
          <w:jc w:val="center"/>
        </w:trPr>
        <w:tc>
          <w:tcPr>
            <w:tcW w:w="859"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2865"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宋体" w:hAnsi="宋体" w:eastAsia="宋体"/>
                <w:sz w:val="24"/>
              </w:rPr>
              <w:t xml:space="preserve"> </w:t>
            </w:r>
            <w:r>
              <w:rPr>
                <w:rFonts w:hint="eastAsia" w:ascii="宋体" w:hAnsi="宋体"/>
                <w:color w:val="000000"/>
                <w:sz w:val="21"/>
                <w:shd w:val="clear" w:color="auto" w:fill="FFFFFF"/>
                <w:lang w:eastAsia="zh-CN"/>
              </w:rPr>
              <w:t>救灾物资仓库运行保障</w:t>
            </w:r>
          </w:p>
        </w:tc>
        <w:tc>
          <w:tcPr>
            <w:tcW w:w="1815" w:type="dxa"/>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color w:val="000000"/>
                <w:sz w:val="21"/>
                <w:shd w:val="clear" w:color="auto" w:fill="FFFFFF"/>
                <w:lang w:eastAsia="zh-CN"/>
              </w:rPr>
              <w:t>救灾物资仓库运行及工作完成率</w:t>
            </w:r>
          </w:p>
        </w:tc>
        <w:tc>
          <w:tcPr>
            <w:tcW w:w="141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90</w:t>
            </w:r>
            <w:r>
              <w:rPr>
                <w:rFonts w:hint="eastAsia" w:hAnsi="宋体"/>
                <w:sz w:val="24"/>
              </w:rPr>
              <w:t>-1</w:t>
            </w:r>
            <w:r>
              <w:rPr>
                <w:rFonts w:hint="eastAsia" w:hAnsi="宋体"/>
                <w:sz w:val="24"/>
                <w:lang w:val="en-US" w:eastAsia="zh-CN"/>
              </w:rPr>
              <w:t>01</w:t>
            </w:r>
            <w:r>
              <w:rPr>
                <w:rFonts w:hint="eastAsia" w:hAnsi="宋体"/>
                <w:sz w:val="24"/>
              </w:rPr>
              <w:t>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rPr>
              <w:t>100-110人</w:t>
            </w:r>
          </w:p>
        </w:tc>
        <w:tc>
          <w:tcPr>
            <w:tcW w:w="1380"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70</w:t>
            </w:r>
            <w:r>
              <w:rPr>
                <w:rFonts w:hint="eastAsia" w:hAnsi="宋体"/>
                <w:sz w:val="24"/>
              </w:rPr>
              <w:t>-</w:t>
            </w:r>
            <w:r>
              <w:rPr>
                <w:rFonts w:hint="eastAsia" w:hAnsi="宋体"/>
                <w:sz w:val="24"/>
                <w:lang w:val="en-US" w:eastAsia="zh-CN"/>
              </w:rPr>
              <w:t>80</w:t>
            </w:r>
            <w:r>
              <w:rPr>
                <w:rFonts w:hint="eastAsia" w:hAnsi="宋体"/>
                <w:sz w:val="24"/>
              </w:rPr>
              <w:t>人</w:t>
            </w:r>
          </w:p>
        </w:tc>
        <w:tc>
          <w:tcPr>
            <w:tcW w:w="1369" w:type="dxa"/>
            <w:vAlign w:val="top"/>
          </w:tcPr>
          <w:p>
            <w:pPr>
              <w:tabs>
                <w:tab w:val="left" w:pos="720"/>
                <w:tab w:val="left" w:pos="3600"/>
              </w:tabs>
              <w:spacing w:line="578" w:lineRule="exact"/>
              <w:jc w:val="center"/>
              <w:rPr>
                <w:rFonts w:hint="eastAsia" w:ascii="宋体" w:hAnsi="宋体" w:eastAsia="宋体"/>
                <w:sz w:val="24"/>
              </w:rPr>
            </w:pPr>
            <w:r>
              <w:rPr>
                <w:rFonts w:hint="eastAsia" w:hAnsi="宋体"/>
                <w:sz w:val="24"/>
                <w:lang w:val="en-US" w:eastAsia="zh-CN"/>
              </w:rPr>
              <w:t>7</w:t>
            </w:r>
            <w:r>
              <w:rPr>
                <w:rFonts w:hint="eastAsia" w:hAnsi="宋体"/>
                <w:sz w:val="24"/>
              </w:rPr>
              <w:t>0人以下</w:t>
            </w:r>
          </w:p>
        </w:tc>
      </w:tr>
    </w:tbl>
    <w:p>
      <w:pPr>
        <w:ind w:firstLine="480"/>
        <w:rPr>
          <w:rFonts w:hint="eastAsia" w:ascii="宋体" w:hAnsi="宋体"/>
          <w:sz w:val="24"/>
          <w:szCs w:val="24"/>
        </w:rPr>
      </w:pPr>
    </w:p>
    <w:p>
      <w:pPr>
        <w:ind w:firstLine="480"/>
        <w:rPr>
          <w:rFonts w:hint="eastAsia" w:ascii="宋体" w:hAnsi="宋体"/>
          <w:sz w:val="24"/>
          <w:szCs w:val="24"/>
        </w:rPr>
      </w:pPr>
      <w:r>
        <w:rPr>
          <w:rFonts w:hint="eastAsia" w:ascii="宋体" w:hAnsi="宋体"/>
          <w:sz w:val="24"/>
          <w:szCs w:val="24"/>
        </w:rPr>
        <w:t>注：以预算批复的绩效目标为准填</w:t>
      </w:r>
    </w:p>
    <w:p>
      <w:pPr>
        <w:rPr>
          <w:rFonts w:hint="eastAsia" w:ascii="楷体" w:hAnsi="楷体" w:eastAsia="楷体" w:cs="楷体"/>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rPr>
        <w:t>-3</w:t>
      </w:r>
    </w:p>
    <w:p>
      <w:pPr>
        <w:ind w:firstLine="3092" w:firstLineChars="700"/>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3"/>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151"/>
        <w:gridCol w:w="551"/>
        <w:gridCol w:w="492"/>
        <w:gridCol w:w="363"/>
        <w:gridCol w:w="470"/>
        <w:gridCol w:w="25"/>
        <w:gridCol w:w="319"/>
        <w:gridCol w:w="106"/>
        <w:gridCol w:w="464"/>
        <w:gridCol w:w="30"/>
        <w:gridCol w:w="22"/>
        <w:gridCol w:w="98"/>
        <w:gridCol w:w="640"/>
        <w:gridCol w:w="245"/>
        <w:gridCol w:w="651"/>
        <w:gridCol w:w="144"/>
        <w:gridCol w:w="284"/>
        <w:gridCol w:w="363"/>
        <w:gridCol w:w="112"/>
        <w:gridCol w:w="245"/>
        <w:gridCol w:w="216"/>
        <w:gridCol w:w="435"/>
        <w:gridCol w:w="732"/>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7"/>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99"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901"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海口市社会福利院</w:t>
            </w:r>
          </w:p>
        </w:tc>
        <w:tc>
          <w:tcPr>
            <w:tcW w:w="3003" w:type="dxa"/>
            <w:gridSpan w:val="11"/>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8"/>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901"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吴英明</w:t>
            </w:r>
          </w:p>
        </w:tc>
        <w:tc>
          <w:tcPr>
            <w:tcW w:w="3003" w:type="dxa"/>
            <w:gridSpan w:val="11"/>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8"/>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66182367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904" w:type="dxa"/>
            <w:gridSpan w:val="1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eastAsia="zh-CN"/>
              </w:rPr>
              <w:t>海口市福利路</w:t>
            </w:r>
            <w:r>
              <w:rPr>
                <w:rFonts w:hint="eastAsia" w:ascii="宋体" w:hAnsi="宋体"/>
                <w:sz w:val="21"/>
                <w:szCs w:val="21"/>
                <w:lang w:val="en-US" w:eastAsia="zh-CN"/>
              </w:rPr>
              <w:t>8号</w:t>
            </w:r>
          </w:p>
        </w:tc>
        <w:tc>
          <w:tcPr>
            <w:tcW w:w="936"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7037" w:type="dxa"/>
            <w:gridSpan w:val="2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 xml:space="preserve">经常性项目（ </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99"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1043"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129</w:t>
            </w:r>
          </w:p>
        </w:tc>
        <w:tc>
          <w:tcPr>
            <w:tcW w:w="1799"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129</w:t>
            </w:r>
          </w:p>
        </w:tc>
        <w:tc>
          <w:tcPr>
            <w:tcW w:w="1799"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640" w:type="dxa"/>
            <w:gridSpan w:val="5"/>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1043" w:type="dxa"/>
            <w:gridSpan w:val="2"/>
            <w:vAlign w:val="center"/>
          </w:tcPr>
          <w:p>
            <w:pPr>
              <w:spacing w:line="300" w:lineRule="exact"/>
              <w:jc w:val="center"/>
              <w:rPr>
                <w:rFonts w:hint="eastAsia" w:ascii="宋体" w:hAnsi="宋体" w:eastAsia="宋体"/>
                <w:sz w:val="21"/>
                <w:szCs w:val="21"/>
              </w:rPr>
            </w:pPr>
          </w:p>
        </w:tc>
        <w:tc>
          <w:tcPr>
            <w:tcW w:w="1799"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gridSpan w:val="2"/>
            <w:vAlign w:val="center"/>
          </w:tcPr>
          <w:p>
            <w:pPr>
              <w:spacing w:line="300" w:lineRule="exact"/>
              <w:jc w:val="center"/>
              <w:rPr>
                <w:rFonts w:hint="eastAsia" w:ascii="宋体" w:hAnsi="宋体" w:eastAsia="宋体"/>
                <w:sz w:val="21"/>
                <w:szCs w:val="21"/>
              </w:rPr>
            </w:pPr>
          </w:p>
        </w:tc>
        <w:tc>
          <w:tcPr>
            <w:tcW w:w="1799" w:type="dxa"/>
            <w:gridSpan w:val="6"/>
            <w:vAlign w:val="center"/>
          </w:tcPr>
          <w:p>
            <w:pPr>
              <w:spacing w:line="300" w:lineRule="exact"/>
              <w:jc w:val="center"/>
              <w:rPr>
                <w:rFonts w:hint="eastAsia" w:ascii="宋体" w:hAnsi="宋体" w:eastAsia="宋体"/>
                <w:sz w:val="21"/>
                <w:szCs w:val="21"/>
              </w:rPr>
            </w:pPr>
          </w:p>
        </w:tc>
        <w:tc>
          <w:tcPr>
            <w:tcW w:w="1640" w:type="dxa"/>
            <w:gridSpan w:val="5"/>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1043" w:type="dxa"/>
            <w:gridSpan w:val="2"/>
            <w:vAlign w:val="center"/>
          </w:tcPr>
          <w:p>
            <w:pPr>
              <w:spacing w:line="300" w:lineRule="exact"/>
              <w:jc w:val="center"/>
              <w:rPr>
                <w:rFonts w:hint="eastAsia" w:ascii="宋体" w:hAnsi="宋体" w:eastAsia="宋体"/>
                <w:sz w:val="21"/>
                <w:szCs w:val="21"/>
              </w:rPr>
            </w:pPr>
          </w:p>
        </w:tc>
        <w:tc>
          <w:tcPr>
            <w:tcW w:w="1799"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gridSpan w:val="2"/>
            <w:vAlign w:val="center"/>
          </w:tcPr>
          <w:p>
            <w:pPr>
              <w:spacing w:line="300" w:lineRule="exact"/>
              <w:jc w:val="center"/>
              <w:rPr>
                <w:rFonts w:hint="eastAsia" w:ascii="宋体" w:hAnsi="宋体" w:eastAsia="宋体"/>
                <w:sz w:val="21"/>
                <w:szCs w:val="21"/>
              </w:rPr>
            </w:pPr>
          </w:p>
        </w:tc>
        <w:tc>
          <w:tcPr>
            <w:tcW w:w="1799" w:type="dxa"/>
            <w:gridSpan w:val="6"/>
            <w:vAlign w:val="center"/>
          </w:tcPr>
          <w:p>
            <w:pPr>
              <w:spacing w:line="300" w:lineRule="exact"/>
              <w:jc w:val="center"/>
              <w:rPr>
                <w:rFonts w:hint="eastAsia" w:ascii="宋体" w:hAnsi="宋体" w:eastAsia="宋体"/>
                <w:sz w:val="21"/>
                <w:szCs w:val="21"/>
              </w:rPr>
            </w:pPr>
          </w:p>
        </w:tc>
        <w:tc>
          <w:tcPr>
            <w:tcW w:w="1640" w:type="dxa"/>
            <w:gridSpan w:val="5"/>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1043"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129</w:t>
            </w:r>
          </w:p>
        </w:tc>
        <w:tc>
          <w:tcPr>
            <w:tcW w:w="1799"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129</w:t>
            </w:r>
          </w:p>
        </w:tc>
        <w:tc>
          <w:tcPr>
            <w:tcW w:w="1799" w:type="dxa"/>
            <w:gridSpan w:val="6"/>
            <w:vAlign w:val="center"/>
          </w:tcPr>
          <w:p>
            <w:pPr>
              <w:spacing w:line="300" w:lineRule="exact"/>
              <w:jc w:val="center"/>
              <w:rPr>
                <w:rFonts w:hint="eastAsia" w:ascii="宋体" w:hAnsi="宋体" w:eastAsia="宋体"/>
                <w:sz w:val="21"/>
                <w:szCs w:val="21"/>
              </w:rPr>
            </w:pPr>
          </w:p>
        </w:tc>
        <w:tc>
          <w:tcPr>
            <w:tcW w:w="1640" w:type="dxa"/>
            <w:gridSpan w:val="5"/>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73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1043" w:type="dxa"/>
            <w:gridSpan w:val="2"/>
            <w:vAlign w:val="center"/>
          </w:tcPr>
          <w:p>
            <w:pPr>
              <w:spacing w:line="300" w:lineRule="exact"/>
              <w:jc w:val="center"/>
              <w:rPr>
                <w:rFonts w:hint="eastAsia" w:ascii="宋体" w:hAnsi="宋体" w:eastAsia="宋体"/>
                <w:sz w:val="21"/>
                <w:szCs w:val="21"/>
              </w:rPr>
            </w:pPr>
          </w:p>
        </w:tc>
        <w:tc>
          <w:tcPr>
            <w:tcW w:w="1799"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gridSpan w:val="2"/>
            <w:vAlign w:val="center"/>
          </w:tcPr>
          <w:p>
            <w:pPr>
              <w:spacing w:line="300" w:lineRule="exact"/>
              <w:jc w:val="center"/>
              <w:rPr>
                <w:rFonts w:hint="eastAsia" w:ascii="宋体" w:hAnsi="宋体" w:eastAsia="宋体"/>
                <w:sz w:val="21"/>
                <w:szCs w:val="21"/>
              </w:rPr>
            </w:pPr>
          </w:p>
        </w:tc>
        <w:tc>
          <w:tcPr>
            <w:tcW w:w="1799" w:type="dxa"/>
            <w:gridSpan w:val="6"/>
            <w:vAlign w:val="center"/>
          </w:tcPr>
          <w:p>
            <w:pPr>
              <w:spacing w:line="300" w:lineRule="exact"/>
              <w:jc w:val="center"/>
              <w:rPr>
                <w:rFonts w:hint="eastAsia" w:ascii="宋体" w:hAnsi="宋体" w:eastAsia="宋体"/>
                <w:sz w:val="21"/>
                <w:szCs w:val="21"/>
              </w:rPr>
            </w:pPr>
          </w:p>
        </w:tc>
        <w:tc>
          <w:tcPr>
            <w:tcW w:w="1640" w:type="dxa"/>
            <w:gridSpan w:val="5"/>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26"/>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91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40"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91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7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914"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0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8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914"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8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89"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914"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1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8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914"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7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7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914"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8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914"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8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14"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8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7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5"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614"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53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1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69"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60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7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69"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60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0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69"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60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0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69"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60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19"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69"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60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58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669"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60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669"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60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80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165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576" w:type="dxa"/>
            <w:gridSpan w:val="1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187" w:type="dxa"/>
            <w:gridSpan w:val="1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26"/>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799"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bookmarkStart w:id="0" w:name="_GoBack" w:colFirst="6" w:colLast="6"/>
            <w:r>
              <w:rPr>
                <w:rFonts w:hint="eastAsia" w:ascii="宋体" w:hAnsi="宋体"/>
                <w:sz w:val="21"/>
                <w:szCs w:val="21"/>
                <w:lang w:eastAsia="zh-CN"/>
              </w:rPr>
              <w:t>唐凤英</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院长</w:t>
            </w:r>
          </w:p>
        </w:tc>
        <w:tc>
          <w:tcPr>
            <w:tcW w:w="2419" w:type="dxa"/>
            <w:gridSpan w:val="10"/>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sz w:val="21"/>
                <w:szCs w:val="21"/>
                <w:lang w:val="en-US" w:eastAsia="zh-CN"/>
              </w:rPr>
            </w:pPr>
            <w:r>
              <w:rPr>
                <w:rFonts w:hint="eastAsia" w:ascii="宋体" w:hAnsi="宋体"/>
                <w:sz w:val="21"/>
                <w:szCs w:val="21"/>
                <w:lang w:val="en-US" w:eastAsia="zh-CN"/>
              </w:rPr>
              <w:t>94</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唐凤英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吴英明</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副院长</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95</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吴英明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黄利英</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办公室主任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94</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许振伟</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后勤部主任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94</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许振伟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王锦花</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特教部主任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96</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王锦花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陈伟</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康复中心主任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93</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黄雄</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社工部主任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93</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黄晓穗</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儿童部主任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95</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黄晓穗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姜立恒</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综合部主任</w:t>
            </w:r>
          </w:p>
        </w:tc>
        <w:tc>
          <w:tcPr>
            <w:tcW w:w="2419" w:type="dxa"/>
            <w:gridSpan w:val="10"/>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海口市社会福利院</w:t>
            </w: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95</w:t>
            </w:r>
          </w:p>
        </w:tc>
        <w:tc>
          <w:tcPr>
            <w:tcW w:w="138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姜立恒</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419" w:type="dxa"/>
            <w:gridSpan w:val="10"/>
            <w:vAlign w:val="center"/>
          </w:tcPr>
          <w:p>
            <w:pPr>
              <w:spacing w:line="300" w:lineRule="exact"/>
              <w:jc w:val="center"/>
              <w:rPr>
                <w:rFonts w:hint="eastAsia" w:ascii="宋体" w:hAnsi="宋体" w:eastAsia="宋体"/>
                <w:sz w:val="21"/>
                <w:szCs w:val="21"/>
              </w:rPr>
            </w:pPr>
          </w:p>
        </w:tc>
        <w:tc>
          <w:tcPr>
            <w:tcW w:w="1799"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eastAsia="宋体"/>
                <w:color w:val="A4A4A4"/>
                <w:sz w:val="21"/>
                <w:szCs w:val="21"/>
              </w:rPr>
              <w:t>平均得分</w:t>
            </w:r>
            <w:r>
              <w:rPr>
                <w:rFonts w:hint="eastAsia" w:ascii="宋体" w:hAnsi="宋体"/>
                <w:color w:val="A4A4A4"/>
                <w:sz w:val="21"/>
                <w:szCs w:val="21"/>
                <w:lang w:val="en-US" w:eastAsia="zh-CN"/>
              </w:rPr>
              <w:t>94</w:t>
            </w:r>
          </w:p>
        </w:tc>
        <w:tc>
          <w:tcPr>
            <w:tcW w:w="1383"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3030" w:hRule="atLeast"/>
          <w:jc w:val="center"/>
        </w:trPr>
        <w:tc>
          <w:tcPr>
            <w:tcW w:w="8763" w:type="dxa"/>
            <w:gridSpan w:val="26"/>
            <w:tcBorders>
              <w:bottom w:val="single" w:color="auto" w:sz="4" w:space="0"/>
            </w:tcBorders>
            <w:vAlign w:val="center"/>
          </w:tcPr>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rPr>
          <w:rFonts w:hint="eastAsia" w:ascii="宋体" w:hAnsi="宋体" w:eastAsia="宋体"/>
          <w:b/>
          <w:bCs/>
          <w:color w:val="000000"/>
          <w:sz w:val="44"/>
          <w:szCs w:val="44"/>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rPr>
        <w:t>-4</w:t>
      </w:r>
    </w:p>
    <w:p>
      <w:pPr>
        <w:spacing w:line="578" w:lineRule="exact"/>
        <w:ind w:firstLine="1767" w:firstLineChars="400"/>
        <w:jc w:val="both"/>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ind w:firstLine="1767" w:firstLineChars="400"/>
        <w:jc w:val="both"/>
        <w:rPr>
          <w:rFonts w:hint="eastAsia" w:ascii="宋体" w:hAnsi="宋体" w:eastAsia="宋体"/>
          <w:b/>
          <w:bCs/>
          <w:color w:val="000000"/>
          <w:sz w:val="44"/>
          <w:szCs w:val="44"/>
        </w:rPr>
      </w:pPr>
    </w:p>
    <w:p>
      <w:pPr>
        <w:numPr>
          <w:ilvl w:val="0"/>
          <w:numId w:val="1"/>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项目概况</w:t>
      </w:r>
    </w:p>
    <w:p>
      <w:pPr>
        <w:numPr>
          <w:ilvl w:val="0"/>
          <w:numId w:val="0"/>
        </w:numPr>
        <w:spacing w:line="578" w:lineRule="exact"/>
        <w:ind w:firstLine="640" w:firstLineChars="200"/>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（一）项目单位基本情况</w:t>
      </w:r>
    </w:p>
    <w:p>
      <w:pPr>
        <w:spacing w:line="560" w:lineRule="exact"/>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color="auto" w:fill="FFFFFF"/>
          <w:lang w:val="en-US" w:eastAsia="zh-CN"/>
        </w:rPr>
        <w:t xml:space="preserve">     </w:t>
      </w:r>
      <w:r>
        <w:rPr>
          <w:rFonts w:hint="eastAsia" w:ascii="仿宋" w:hAnsi="仿宋" w:eastAsia="仿宋" w:cs="仿宋"/>
          <w:b w:val="0"/>
          <w:i w:val="0"/>
          <w:caps w:val="0"/>
          <w:color w:val="000000"/>
          <w:spacing w:val="0"/>
          <w:sz w:val="32"/>
          <w:szCs w:val="32"/>
          <w:shd w:val="clear" w:color="auto" w:fill="FFFFFF"/>
          <w:lang w:eastAsia="zh-CN"/>
        </w:rPr>
        <w:t>海口市社会福利院为民政局下属公益一类</w:t>
      </w:r>
      <w:r>
        <w:rPr>
          <w:rFonts w:hint="eastAsia" w:ascii="仿宋" w:hAnsi="仿宋" w:eastAsia="仿宋" w:cs="仿宋"/>
          <w:b w:val="0"/>
          <w:i w:val="0"/>
          <w:caps w:val="0"/>
          <w:color w:val="000000"/>
          <w:spacing w:val="0"/>
          <w:sz w:val="32"/>
          <w:szCs w:val="32"/>
          <w:shd w:val="clear" w:color="auto" w:fill="FFFFFF"/>
        </w:rPr>
        <w:t>事业单位，办公场所位于</w:t>
      </w:r>
      <w:r>
        <w:rPr>
          <w:rFonts w:hint="eastAsia" w:ascii="仿宋" w:hAnsi="仿宋" w:eastAsia="仿宋" w:cs="仿宋"/>
          <w:b w:val="0"/>
          <w:i w:val="0"/>
          <w:caps w:val="0"/>
          <w:color w:val="000000"/>
          <w:spacing w:val="0"/>
          <w:sz w:val="32"/>
          <w:szCs w:val="32"/>
          <w:shd w:val="clear" w:color="auto" w:fill="FFFFFF"/>
          <w:lang w:eastAsia="zh-CN"/>
        </w:rPr>
        <w:t>海口市福利路</w:t>
      </w:r>
      <w:r>
        <w:rPr>
          <w:rFonts w:hint="eastAsia" w:ascii="仿宋" w:hAnsi="仿宋" w:eastAsia="仿宋" w:cs="仿宋"/>
          <w:b w:val="0"/>
          <w:i w:val="0"/>
          <w:caps w:val="0"/>
          <w:color w:val="000000"/>
          <w:spacing w:val="0"/>
          <w:sz w:val="32"/>
          <w:szCs w:val="32"/>
          <w:shd w:val="clear" w:color="auto" w:fill="FFFFFF"/>
          <w:lang w:val="en-US" w:eastAsia="zh-CN"/>
        </w:rPr>
        <w:t>8</w:t>
      </w:r>
      <w:r>
        <w:rPr>
          <w:rFonts w:hint="eastAsia" w:ascii="仿宋" w:hAnsi="仿宋" w:eastAsia="仿宋" w:cs="仿宋"/>
          <w:b w:val="0"/>
          <w:i w:val="0"/>
          <w:caps w:val="0"/>
          <w:color w:val="000000"/>
          <w:spacing w:val="0"/>
          <w:sz w:val="32"/>
          <w:szCs w:val="32"/>
          <w:shd w:val="clear" w:color="auto" w:fill="FFFFFF"/>
        </w:rPr>
        <w:t>号</w:t>
      </w:r>
      <w:r>
        <w:rPr>
          <w:rFonts w:hint="eastAsia" w:ascii="仿宋" w:hAnsi="仿宋" w:eastAsia="仿宋" w:cs="仿宋"/>
          <w:b w:val="0"/>
          <w:i w:val="0"/>
          <w:caps w:val="0"/>
          <w:color w:val="000000"/>
          <w:spacing w:val="0"/>
          <w:sz w:val="32"/>
          <w:szCs w:val="32"/>
          <w:shd w:val="clear" w:color="auto" w:fill="FFFFFF"/>
          <w:lang w:eastAsia="zh-CN"/>
        </w:rPr>
        <w:t>，负责人为唐凤英，</w:t>
      </w:r>
      <w:r>
        <w:rPr>
          <w:rFonts w:hint="eastAsia" w:ascii="仿宋" w:hAnsi="仿宋" w:eastAsia="仿宋" w:cs="仿宋"/>
          <w:sz w:val="32"/>
          <w:szCs w:val="32"/>
        </w:rPr>
        <w:t>统一社会信用代码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12460100428239995X</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sz w:val="32"/>
          <w:szCs w:val="32"/>
        </w:rPr>
        <w:t>我院基本职能包括提供收养服务，弘扬救助精神，对经市民政局批准的本市“三无”对象中的孤寡老人、孤残弃婴幼儿童予以收养。对不属于“三无”对象的入院者提供代管、代养服务。负责存储、管理本市救灾物资；指导全市救灾物资的储备管理和使用；协助开展社会救灾物资募集和捐赠接收管理工作；承办上级部门和领导交办的其他工作任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目前我院共设立办公室、综合部、后勤部、社工部、儿童部、康复中心和特教部共</w:t>
      </w:r>
      <w:r>
        <w:rPr>
          <w:rFonts w:hint="eastAsia" w:ascii="仿宋" w:hAnsi="仿宋" w:eastAsia="仿宋" w:cs="仿宋"/>
          <w:sz w:val="32"/>
          <w:szCs w:val="32"/>
          <w:lang w:val="en-US" w:eastAsia="zh-CN"/>
        </w:rPr>
        <w:t>7</w:t>
      </w:r>
      <w:r>
        <w:rPr>
          <w:rFonts w:hint="eastAsia" w:ascii="仿宋" w:hAnsi="仿宋" w:eastAsia="仿宋" w:cs="仿宋"/>
          <w:sz w:val="32"/>
          <w:szCs w:val="32"/>
        </w:rPr>
        <w:t>个职能部门。</w:t>
      </w:r>
    </w:p>
    <w:p>
      <w:pPr>
        <w:spacing w:line="578" w:lineRule="exact"/>
        <w:ind w:firstLine="643" w:firstLineChars="200"/>
        <w:outlineLvl w:val="0"/>
        <w:rPr>
          <w:rFonts w:hint="eastAsia" w:ascii="仿宋" w:hAnsi="仿宋" w:eastAsia="仿宋" w:cs="仿宋"/>
          <w:b/>
          <w:bCs/>
          <w:color w:val="000000"/>
          <w:sz w:val="32"/>
          <w:szCs w:val="32"/>
        </w:rPr>
      </w:pPr>
      <w:r>
        <w:rPr>
          <w:rFonts w:hint="eastAsia" w:ascii="仿宋" w:hAnsi="仿宋" w:eastAsia="仿宋" w:cs="仿宋"/>
          <w:b/>
          <w:sz w:val="32"/>
          <w:szCs w:val="32"/>
        </w:rPr>
        <w:t>（二）</w:t>
      </w:r>
      <w:r>
        <w:rPr>
          <w:rFonts w:hint="eastAsia" w:ascii="仿宋" w:hAnsi="仿宋" w:eastAsia="仿宋" w:cs="仿宋"/>
          <w:b w:val="0"/>
          <w:bCs/>
          <w:sz w:val="32"/>
          <w:szCs w:val="32"/>
        </w:rPr>
        <w:t>项目基本性质、用途和主要内容涉及范围。</w:t>
      </w:r>
    </w:p>
    <w:p>
      <w:pPr>
        <w:spacing w:line="56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项目资金</w:t>
      </w:r>
      <w:r>
        <w:rPr>
          <w:rFonts w:hint="eastAsia" w:ascii="仿宋" w:hAnsi="仿宋" w:eastAsia="仿宋" w:cs="仿宋"/>
          <w:bCs/>
          <w:color w:val="000000"/>
          <w:sz w:val="32"/>
          <w:szCs w:val="32"/>
          <w:lang w:eastAsia="zh-CN"/>
        </w:rPr>
        <w:t>分别保障：</w:t>
      </w:r>
    </w:p>
    <w:p>
      <w:pPr>
        <w:numPr>
          <w:ilvl w:val="0"/>
          <w:numId w:val="2"/>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bCs/>
          <w:color w:val="000000"/>
          <w:sz w:val="32"/>
          <w:szCs w:val="32"/>
          <w:lang w:val="en-US" w:eastAsia="zh-CN"/>
        </w:rPr>
        <w:t>海口市社会福利院资金69万元；保障</w:t>
      </w:r>
      <w:r>
        <w:rPr>
          <w:rFonts w:hint="eastAsia" w:ascii="仿宋" w:hAnsi="仿宋" w:eastAsia="仿宋" w:cs="仿宋"/>
          <w:sz w:val="32"/>
          <w:szCs w:val="32"/>
        </w:rPr>
        <w:t>我院</w:t>
      </w:r>
      <w:r>
        <w:rPr>
          <w:rFonts w:hint="eastAsia" w:ascii="仿宋" w:hAnsi="仿宋" w:eastAsia="仿宋" w:cs="仿宋"/>
          <w:sz w:val="32"/>
          <w:szCs w:val="32"/>
          <w:lang w:eastAsia="zh-CN"/>
        </w:rPr>
        <w:t>服务工作基础设施设备维修维护、水电、院消防设备配套；行政、党建、宣传教育、聘用人员体检等事务。</w:t>
      </w:r>
    </w:p>
    <w:p>
      <w:pPr>
        <w:numPr>
          <w:ilvl w:val="0"/>
          <w:numId w:val="2"/>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救灾物资储备仓库工作经费</w:t>
      </w:r>
      <w:r>
        <w:rPr>
          <w:rFonts w:hint="eastAsia" w:ascii="仿宋" w:hAnsi="仿宋" w:eastAsia="仿宋" w:cs="仿宋"/>
          <w:sz w:val="32"/>
          <w:szCs w:val="32"/>
          <w:lang w:val="en-US" w:eastAsia="zh-CN"/>
        </w:rPr>
        <w:t>60万元；救灾仓库职能主要负责储备、管理本市救灾物资；指导全市救灾物资的储备管理和使用；协助开展社会救灾物资募捐和捐赠接送管理工作。资金用于救灾仓库的工作运行、仓库维修维护及劳务服务。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）项目绩效目标</w:t>
      </w:r>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项目为经常性项目，无跨年度预期总目标及阶段性目标</w:t>
      </w:r>
      <w:r>
        <w:rPr>
          <w:rFonts w:hint="eastAsia" w:ascii="仿宋" w:hAnsi="仿宋" w:eastAsia="仿宋" w:cs="仿宋"/>
          <w:color w:val="000000"/>
          <w:sz w:val="32"/>
          <w:szCs w:val="32"/>
          <w:lang w:eastAsia="zh-CN"/>
        </w:rPr>
        <w:t>。</w:t>
      </w:r>
    </w:p>
    <w:p>
      <w:pPr>
        <w:numPr>
          <w:ilvl w:val="0"/>
          <w:numId w:val="1"/>
        </w:numPr>
        <w:spacing w:line="560" w:lineRule="exact"/>
        <w:ind w:left="0" w:leftChars="0"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项目资金使用及管理情况</w:t>
      </w:r>
    </w:p>
    <w:p>
      <w:pPr>
        <w:numPr>
          <w:ilvl w:val="0"/>
          <w:numId w:val="3"/>
        </w:numPr>
        <w:spacing w:line="560" w:lineRule="exact"/>
        <w:ind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项目资金到位情况分析</w:t>
      </w:r>
    </w:p>
    <w:p>
      <w:pPr>
        <w:numPr>
          <w:ilvl w:val="0"/>
          <w:numId w:val="0"/>
        </w:numPr>
        <w:spacing w:line="578"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项目年初预算申请</w:t>
      </w:r>
      <w:r>
        <w:rPr>
          <w:rFonts w:hint="eastAsia" w:ascii="仿宋" w:hAnsi="仿宋" w:eastAsia="仿宋" w:cs="仿宋"/>
          <w:sz w:val="32"/>
          <w:szCs w:val="32"/>
          <w:lang w:val="en-US" w:eastAsia="zh-CN"/>
        </w:rPr>
        <w:t>129</w:t>
      </w:r>
      <w:r>
        <w:rPr>
          <w:rFonts w:hint="eastAsia" w:ascii="仿宋" w:hAnsi="仿宋" w:eastAsia="仿宋" w:cs="仿宋"/>
          <w:sz w:val="32"/>
          <w:szCs w:val="32"/>
        </w:rPr>
        <w:t>万元，实际到位金额</w:t>
      </w:r>
      <w:r>
        <w:rPr>
          <w:rFonts w:hint="eastAsia" w:ascii="仿宋" w:hAnsi="仿宋" w:eastAsia="仿宋" w:cs="仿宋"/>
          <w:sz w:val="32"/>
          <w:szCs w:val="32"/>
          <w:lang w:val="en-US" w:eastAsia="zh-CN"/>
        </w:rPr>
        <w:t>129</w:t>
      </w:r>
      <w:r>
        <w:rPr>
          <w:rFonts w:hint="eastAsia" w:ascii="仿宋" w:hAnsi="仿宋" w:eastAsia="仿宋" w:cs="仿宋"/>
          <w:sz w:val="32"/>
          <w:szCs w:val="32"/>
        </w:rPr>
        <w:t>万元，资金来源于市财政资金，到位率100%。</w:t>
      </w:r>
    </w:p>
    <w:p>
      <w:pPr>
        <w:numPr>
          <w:ilvl w:val="0"/>
          <w:numId w:val="0"/>
        </w:numPr>
        <w:spacing w:line="578" w:lineRule="exact"/>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项目资金使用情况分析</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项目实际使用资金</w:t>
      </w:r>
      <w:r>
        <w:rPr>
          <w:rFonts w:hint="eastAsia" w:ascii="仿宋" w:hAnsi="仿宋" w:eastAsia="仿宋" w:cs="仿宋"/>
          <w:sz w:val="32"/>
          <w:szCs w:val="32"/>
          <w:lang w:val="en-US" w:eastAsia="zh-CN"/>
        </w:rPr>
        <w:t>113.31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bCs/>
          <w:color w:val="000000"/>
          <w:sz w:val="32"/>
          <w:szCs w:val="32"/>
          <w:lang w:val="en-US" w:eastAsia="zh-CN"/>
        </w:rPr>
        <w:t>海口市社会福利院资金使用54.65万元：</w:t>
      </w:r>
      <w:r>
        <w:rPr>
          <w:rFonts w:hint="eastAsia" w:ascii="仿宋" w:hAnsi="仿宋" w:eastAsia="仿宋" w:cs="仿宋"/>
          <w:sz w:val="32"/>
          <w:szCs w:val="32"/>
          <w:lang w:eastAsia="zh-CN"/>
        </w:rPr>
        <w:t>基础设施设备维修维护配套</w:t>
      </w:r>
      <w:r>
        <w:rPr>
          <w:rFonts w:hint="eastAsia" w:ascii="仿宋" w:hAnsi="仿宋" w:eastAsia="仿宋" w:cs="仿宋"/>
          <w:sz w:val="32"/>
          <w:szCs w:val="32"/>
          <w:lang w:val="en-US" w:eastAsia="zh-CN"/>
        </w:rPr>
        <w:t>5.31万元</w:t>
      </w:r>
      <w:r>
        <w:rPr>
          <w:rFonts w:hint="eastAsia" w:ascii="仿宋" w:hAnsi="仿宋" w:eastAsia="仿宋" w:cs="仿宋"/>
          <w:sz w:val="32"/>
          <w:szCs w:val="32"/>
          <w:lang w:eastAsia="zh-CN"/>
        </w:rPr>
        <w:t>、水电</w:t>
      </w:r>
      <w:r>
        <w:rPr>
          <w:rFonts w:hint="eastAsia" w:ascii="仿宋" w:hAnsi="仿宋" w:eastAsia="仿宋" w:cs="仿宋"/>
          <w:sz w:val="32"/>
          <w:szCs w:val="32"/>
          <w:lang w:val="en-US" w:eastAsia="zh-CN"/>
        </w:rPr>
        <w:t>23.58万元</w:t>
      </w:r>
      <w:r>
        <w:rPr>
          <w:rFonts w:hint="eastAsia" w:ascii="仿宋" w:hAnsi="仿宋" w:eastAsia="仿宋" w:cs="仿宋"/>
          <w:sz w:val="32"/>
          <w:szCs w:val="32"/>
          <w:lang w:eastAsia="zh-CN"/>
        </w:rPr>
        <w:t>；行政、党建、宣传教育</w:t>
      </w:r>
      <w:r>
        <w:rPr>
          <w:rFonts w:hint="eastAsia" w:ascii="仿宋" w:hAnsi="仿宋" w:eastAsia="仿宋" w:cs="仿宋"/>
          <w:sz w:val="32"/>
          <w:szCs w:val="32"/>
          <w:lang w:val="en-US" w:eastAsia="zh-CN"/>
        </w:rPr>
        <w:t>19.68万元；</w:t>
      </w:r>
      <w:r>
        <w:rPr>
          <w:rFonts w:hint="eastAsia" w:ascii="仿宋" w:hAnsi="仿宋" w:eastAsia="仿宋" w:cs="仿宋"/>
          <w:sz w:val="32"/>
          <w:szCs w:val="32"/>
          <w:lang w:eastAsia="zh-CN"/>
        </w:rPr>
        <w:t>聘用人员体检</w:t>
      </w:r>
      <w:r>
        <w:rPr>
          <w:rFonts w:hint="eastAsia" w:ascii="仿宋" w:hAnsi="仿宋" w:eastAsia="仿宋" w:cs="仿宋"/>
          <w:sz w:val="32"/>
          <w:szCs w:val="32"/>
          <w:lang w:val="en-US" w:eastAsia="zh-CN"/>
        </w:rPr>
        <w:t>6.08万元</w:t>
      </w:r>
      <w:r>
        <w:rPr>
          <w:rFonts w:hint="eastAsia" w:ascii="仿宋" w:hAnsi="仿宋" w:eastAsia="仿宋" w:cs="仿宋"/>
          <w:sz w:val="32"/>
          <w:szCs w:val="32"/>
          <w:lang w:eastAsia="zh-CN"/>
        </w:rPr>
        <w:t>等事务。 救灾物资储备仓库工作经费使用</w:t>
      </w:r>
      <w:r>
        <w:rPr>
          <w:rFonts w:hint="eastAsia" w:ascii="仿宋" w:hAnsi="仿宋" w:eastAsia="仿宋" w:cs="仿宋"/>
          <w:sz w:val="32"/>
          <w:szCs w:val="32"/>
          <w:lang w:val="en-US" w:eastAsia="zh-CN"/>
        </w:rPr>
        <w:t>58.66万元：劳务服务管理费37.46万元；水电、邮电2.84万元；维修维护12.39万元；管理配套费用5.97万元。</w:t>
      </w:r>
    </w:p>
    <w:p>
      <w:pPr>
        <w:numPr>
          <w:ilvl w:val="0"/>
          <w:numId w:val="0"/>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项目资金管理情况分析</w:t>
      </w:r>
      <w:r>
        <w:rPr>
          <w:rFonts w:hint="eastAsia" w:ascii="仿宋_GB2312" w:hAnsi="仿宋_GB2312" w:eastAsia="仿宋_GB2312" w:cs="仿宋_GB2312"/>
          <w:bCs/>
          <w:color w:val="000000"/>
          <w:sz w:val="32"/>
          <w:szCs w:val="32"/>
        </w:rPr>
        <w:t>（包括管理制度、办法的制订及执行情况等）</w:t>
      </w:r>
    </w:p>
    <w:p>
      <w:pPr>
        <w:numPr>
          <w:ilvl w:val="0"/>
          <w:numId w:val="0"/>
        </w:numPr>
        <w:spacing w:line="578" w:lineRule="exact"/>
        <w:outlineLvl w:val="0"/>
        <w:rPr>
          <w:rFonts w:hint="eastAsia" w:ascii="仿宋" w:hAnsi="仿宋" w:eastAsia="仿宋" w:cs="仿宋"/>
          <w:bCs/>
          <w:color w:val="00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此项资金严格执行财务年初预算管理制度，预算管理依据充分，设置科学、合理、细致，对财务预算均通过院长办公会议讨论共同形成决议，程序合乎规定。每笔资金的支出都有严格的申请流程，</w:t>
      </w:r>
      <w:r>
        <w:rPr>
          <w:rFonts w:hint="eastAsia" w:ascii="仿宋" w:hAnsi="仿宋" w:eastAsia="仿宋" w:cs="仿宋"/>
          <w:bCs/>
          <w:color w:val="000000"/>
          <w:sz w:val="32"/>
          <w:szCs w:val="32"/>
        </w:rPr>
        <w:t>并</w:t>
      </w:r>
      <w:r>
        <w:rPr>
          <w:rFonts w:hint="eastAsia" w:ascii="仿宋" w:hAnsi="仿宋" w:eastAsia="仿宋" w:cs="仿宋"/>
          <w:color w:val="000000"/>
          <w:sz w:val="32"/>
          <w:szCs w:val="32"/>
        </w:rPr>
        <w:t>严格按照现行的会计管理办法，</w:t>
      </w:r>
      <w:r>
        <w:rPr>
          <w:rFonts w:hint="eastAsia" w:ascii="仿宋" w:hAnsi="仿宋" w:eastAsia="仿宋" w:cs="仿宋"/>
          <w:bCs/>
          <w:color w:val="000000"/>
          <w:sz w:val="32"/>
          <w:szCs w:val="32"/>
        </w:rPr>
        <w:t>项目资金专款专用，从资金的申请、分管领导的审核、院领导的审批</w:t>
      </w:r>
      <w:r>
        <w:rPr>
          <w:rFonts w:hint="eastAsia" w:ascii="仿宋" w:hAnsi="仿宋" w:eastAsia="仿宋" w:cs="仿宋"/>
          <w:bCs/>
          <w:sz w:val="32"/>
          <w:szCs w:val="32"/>
        </w:rPr>
        <w:t>等都有严格的申请流程，</w:t>
      </w:r>
      <w:r>
        <w:rPr>
          <w:rFonts w:hint="eastAsia" w:ascii="仿宋" w:hAnsi="仿宋" w:eastAsia="仿宋" w:cs="仿宋"/>
          <w:bCs/>
          <w:color w:val="000000"/>
          <w:sz w:val="32"/>
          <w:szCs w:val="32"/>
        </w:rPr>
        <w:t>且</w:t>
      </w:r>
      <w:r>
        <w:rPr>
          <w:rFonts w:hint="eastAsia" w:ascii="仿宋" w:hAnsi="仿宋" w:eastAsia="仿宋" w:cs="仿宋"/>
          <w:bCs/>
          <w:sz w:val="32"/>
          <w:szCs w:val="32"/>
        </w:rPr>
        <w:t>严格按海口市社会福利院报账程序管理办法执行，确保项目的顺利进行和资金管理。</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该项目</w:t>
      </w:r>
      <w:r>
        <w:rPr>
          <w:rFonts w:hint="eastAsia" w:ascii="仿宋" w:hAnsi="仿宋" w:eastAsia="仿宋" w:cs="仿宋"/>
          <w:b w:val="0"/>
          <w:bCs w:val="0"/>
          <w:sz w:val="32"/>
          <w:szCs w:val="32"/>
          <w:lang w:eastAsia="zh-CN"/>
        </w:rPr>
        <w:t>福利院资金</w:t>
      </w:r>
      <w:r>
        <w:rPr>
          <w:rFonts w:hint="eastAsia" w:ascii="仿宋" w:hAnsi="仿宋" w:eastAsia="仿宋" w:cs="仿宋"/>
          <w:b w:val="0"/>
          <w:bCs w:val="0"/>
          <w:sz w:val="32"/>
          <w:szCs w:val="32"/>
        </w:rPr>
        <w:t>系为保障</w:t>
      </w:r>
      <w:r>
        <w:rPr>
          <w:rFonts w:hint="eastAsia" w:ascii="仿宋" w:hAnsi="仿宋" w:eastAsia="仿宋" w:cs="仿宋"/>
          <w:b w:val="0"/>
          <w:bCs w:val="0"/>
          <w:sz w:val="32"/>
          <w:szCs w:val="32"/>
          <w:lang w:eastAsia="zh-CN"/>
        </w:rPr>
        <w:t>我院文化宣传工作、党建工作、聘用人员体检、水电费、消防设施安全检测等</w:t>
      </w:r>
      <w:r>
        <w:rPr>
          <w:rFonts w:hint="eastAsia" w:ascii="仿宋" w:hAnsi="仿宋" w:eastAsia="仿宋" w:cs="仿宋"/>
          <w:b w:val="0"/>
          <w:bCs w:val="0"/>
          <w:sz w:val="32"/>
          <w:szCs w:val="32"/>
        </w:rPr>
        <w:t>支出。具体是用于支付</w:t>
      </w:r>
      <w:r>
        <w:rPr>
          <w:rFonts w:hint="eastAsia" w:ascii="仿宋" w:hAnsi="仿宋" w:eastAsia="仿宋" w:cs="仿宋"/>
          <w:b w:val="0"/>
          <w:bCs w:val="0"/>
          <w:sz w:val="32"/>
          <w:szCs w:val="32"/>
          <w:lang w:eastAsia="zh-CN"/>
        </w:rPr>
        <w:t>征文活动</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大院文化氛围布置</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清明党日活动</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“七一”党日活动</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观看国庆阅兵直播、拍摄基层党建示范点创建工作纪实片</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聘用人员体检</w:t>
      </w:r>
      <w:r>
        <w:rPr>
          <w:rFonts w:hint="eastAsia" w:ascii="仿宋" w:hAnsi="仿宋" w:eastAsia="仿宋" w:cs="仿宋"/>
          <w:b w:val="0"/>
          <w:bCs w:val="0"/>
          <w:sz w:val="32"/>
          <w:szCs w:val="32"/>
        </w:rPr>
        <w:t>费、</w:t>
      </w:r>
      <w:r>
        <w:rPr>
          <w:rFonts w:hint="eastAsia" w:ascii="仿宋" w:hAnsi="仿宋" w:eastAsia="仿宋" w:cs="仿宋"/>
          <w:b w:val="0"/>
          <w:bCs w:val="0"/>
          <w:sz w:val="32"/>
          <w:szCs w:val="32"/>
          <w:lang w:eastAsia="zh-CN"/>
        </w:rPr>
        <w:t>水电费、消防设施安全检测</w:t>
      </w:r>
      <w:r>
        <w:rPr>
          <w:rFonts w:hint="eastAsia" w:ascii="仿宋" w:hAnsi="仿宋" w:eastAsia="仿宋" w:cs="仿宋"/>
          <w:b w:val="0"/>
          <w:bCs w:val="0"/>
          <w:sz w:val="32"/>
          <w:szCs w:val="32"/>
        </w:rPr>
        <w:t>费等支出。针对经费支出，由</w:t>
      </w:r>
      <w:r>
        <w:rPr>
          <w:rFonts w:hint="eastAsia" w:ascii="仿宋" w:hAnsi="仿宋" w:eastAsia="仿宋" w:cs="仿宋"/>
          <w:b w:val="0"/>
          <w:bCs w:val="0"/>
          <w:sz w:val="32"/>
          <w:szCs w:val="32"/>
          <w:lang w:eastAsia="zh-CN"/>
        </w:rPr>
        <w:t>办公室、后勤部</w:t>
      </w:r>
      <w:r>
        <w:rPr>
          <w:rFonts w:hint="eastAsia" w:ascii="仿宋" w:hAnsi="仿宋" w:eastAsia="仿宋" w:cs="仿宋"/>
          <w:b w:val="0"/>
          <w:bCs w:val="0"/>
          <w:sz w:val="32"/>
          <w:szCs w:val="32"/>
        </w:rPr>
        <w:t>提出工作计划或安排，经</w:t>
      </w:r>
      <w:r>
        <w:rPr>
          <w:rFonts w:hint="eastAsia" w:ascii="仿宋" w:hAnsi="仿宋" w:eastAsia="仿宋" w:cs="仿宋"/>
          <w:b w:val="0"/>
          <w:bCs w:val="0"/>
          <w:sz w:val="32"/>
          <w:szCs w:val="32"/>
          <w:lang w:eastAsia="zh-CN"/>
        </w:rPr>
        <w:t>院长办公会议</w:t>
      </w:r>
      <w:r>
        <w:rPr>
          <w:rFonts w:hint="eastAsia" w:ascii="仿宋" w:hAnsi="仿宋" w:eastAsia="仿宋" w:cs="仿宋"/>
          <w:b w:val="0"/>
          <w:bCs w:val="0"/>
          <w:sz w:val="32"/>
          <w:szCs w:val="32"/>
        </w:rPr>
        <w:t>同意后交办具体负责经办人员执行。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该项目</w:t>
      </w:r>
      <w:r>
        <w:rPr>
          <w:rFonts w:hint="eastAsia" w:ascii="仿宋" w:hAnsi="仿宋" w:eastAsia="仿宋" w:cs="仿宋"/>
          <w:sz w:val="32"/>
          <w:szCs w:val="32"/>
          <w:lang w:eastAsia="zh-CN"/>
        </w:rPr>
        <w:t>救灾物资储备仓库资金系保障仓库救灾物资的管理和正常使用；主要用于支付救灾仓库的劳务服务经费、仓库日常维修维护、水电等费的运行支出。</w:t>
      </w:r>
      <w:r>
        <w:rPr>
          <w:rFonts w:hint="eastAsia" w:ascii="仿宋" w:hAnsi="仿宋" w:eastAsia="仿宋" w:cs="仿宋"/>
          <w:b w:val="0"/>
          <w:bCs w:val="0"/>
          <w:sz w:val="32"/>
          <w:szCs w:val="32"/>
        </w:rPr>
        <w:t>针对经费支出，由</w:t>
      </w:r>
      <w:r>
        <w:rPr>
          <w:rFonts w:hint="eastAsia" w:ascii="仿宋" w:hAnsi="仿宋" w:eastAsia="仿宋" w:cs="仿宋"/>
          <w:b w:val="0"/>
          <w:bCs w:val="0"/>
          <w:sz w:val="32"/>
          <w:szCs w:val="32"/>
          <w:lang w:eastAsia="zh-CN"/>
        </w:rPr>
        <w:t>救灾物资储备仓库</w:t>
      </w:r>
      <w:r>
        <w:rPr>
          <w:rFonts w:hint="eastAsia" w:ascii="仿宋" w:hAnsi="仿宋" w:eastAsia="仿宋" w:cs="仿宋"/>
          <w:b w:val="0"/>
          <w:bCs w:val="0"/>
          <w:sz w:val="32"/>
          <w:szCs w:val="32"/>
        </w:rPr>
        <w:t>提出工作计划或安排，经</w:t>
      </w:r>
      <w:r>
        <w:rPr>
          <w:rFonts w:hint="eastAsia" w:ascii="仿宋" w:hAnsi="仿宋" w:eastAsia="仿宋" w:cs="仿宋"/>
          <w:b w:val="0"/>
          <w:bCs w:val="0"/>
          <w:sz w:val="32"/>
          <w:szCs w:val="32"/>
          <w:lang w:eastAsia="zh-CN"/>
        </w:rPr>
        <w:t>院支委会</w:t>
      </w:r>
      <w:r>
        <w:rPr>
          <w:rFonts w:hint="eastAsia" w:ascii="仿宋" w:hAnsi="仿宋" w:eastAsia="仿宋" w:cs="仿宋"/>
          <w:b w:val="0"/>
          <w:bCs w:val="0"/>
          <w:sz w:val="32"/>
          <w:szCs w:val="32"/>
        </w:rPr>
        <w:t>同意后交办具体负责经办人员执行。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w:t>
      </w:r>
      <w:r>
        <w:rPr>
          <w:rFonts w:hint="eastAsia" w:ascii="仿宋_GB2312" w:hAnsi="仿宋_GB2312" w:eastAsia="仿宋_GB2312" w:cs="仿宋_GB2312"/>
          <w:bCs/>
          <w:color w:val="000000"/>
          <w:sz w:val="32"/>
          <w:szCs w:val="32"/>
        </w:rPr>
        <w:t>项目管理情况分析（包括项目管理制度建设、日常检查监督管理等情况）</w:t>
      </w:r>
    </w:p>
    <w:p>
      <w:pPr>
        <w:spacing w:line="590" w:lineRule="exact"/>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cs="仿宋"/>
          <w:sz w:val="32"/>
          <w:szCs w:val="32"/>
        </w:rPr>
        <w:t>在项目资金管理上，</w:t>
      </w:r>
      <w:r>
        <w:rPr>
          <w:rFonts w:hint="eastAsia" w:ascii="仿宋" w:hAnsi="仿宋" w:eastAsia="仿宋" w:cs="仿宋"/>
          <w:sz w:val="32"/>
          <w:szCs w:val="32"/>
          <w:lang w:eastAsia="zh-CN"/>
        </w:rPr>
        <w:t>市福利院</w:t>
      </w:r>
      <w:r>
        <w:rPr>
          <w:rFonts w:hint="eastAsia" w:ascii="仿宋" w:hAnsi="仿宋" w:eastAsia="仿宋" w:cs="仿宋"/>
          <w:sz w:val="32"/>
          <w:szCs w:val="32"/>
        </w:rPr>
        <w:t>项目资金管理均严格按照国家法律法规执行，专款专用。按照预算</w:t>
      </w:r>
      <w:r>
        <w:rPr>
          <w:rFonts w:hint="eastAsia" w:ascii="仿宋" w:hAnsi="仿宋" w:eastAsia="仿宋" w:cs="仿宋"/>
          <w:sz w:val="32"/>
          <w:szCs w:val="32"/>
          <w:lang w:eastAsia="zh-CN"/>
        </w:rPr>
        <w:t>资金支出安排</w:t>
      </w:r>
      <w:r>
        <w:rPr>
          <w:rFonts w:hint="eastAsia" w:ascii="仿宋" w:hAnsi="仿宋" w:eastAsia="仿宋" w:cs="仿宋"/>
          <w:sz w:val="32"/>
          <w:szCs w:val="32"/>
        </w:rPr>
        <w:t>，</w:t>
      </w:r>
      <w:r>
        <w:rPr>
          <w:rFonts w:hint="eastAsia" w:ascii="仿宋" w:hAnsi="仿宋" w:eastAsia="仿宋" w:cs="仿宋"/>
          <w:sz w:val="32"/>
          <w:szCs w:val="32"/>
          <w:lang w:eastAsia="zh-CN"/>
        </w:rPr>
        <w:t>按月支出，</w:t>
      </w:r>
      <w:r>
        <w:rPr>
          <w:rFonts w:hint="eastAsia" w:ascii="仿宋" w:hAnsi="仿宋" w:eastAsia="仿宋" w:cs="仿宋"/>
          <w:sz w:val="32"/>
          <w:szCs w:val="32"/>
        </w:rPr>
        <w:t>账务由海口市国库支付局进行集中核算。</w:t>
      </w:r>
    </w:p>
    <w:p>
      <w:pPr>
        <w:numPr>
          <w:ilvl w:val="0"/>
          <w:numId w:val="1"/>
        </w:numPr>
        <w:spacing w:line="578" w:lineRule="exact"/>
        <w:ind w:left="0" w:leftChars="0"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项目绩效情况</w:t>
      </w:r>
    </w:p>
    <w:p>
      <w:pPr>
        <w:numPr>
          <w:ilvl w:val="0"/>
          <w:numId w:val="0"/>
        </w:numPr>
        <w:spacing w:line="578" w:lineRule="exact"/>
        <w:ind w:firstLine="320" w:firstLineChars="1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（一）</w:t>
      </w:r>
      <w:r>
        <w:rPr>
          <w:rFonts w:hint="eastAsia" w:ascii="仿宋_GB2312" w:hAnsi="仿宋_GB2312" w:eastAsia="仿宋_GB2312" w:cs="仿宋_GB2312"/>
          <w:bCs/>
          <w:color w:val="000000"/>
          <w:sz w:val="32"/>
          <w:szCs w:val="32"/>
        </w:rPr>
        <w:t>项目绩效目标完成情况分析</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2019年综合事务申报预算为129万元，</w:t>
      </w:r>
      <w:r>
        <w:rPr>
          <w:rFonts w:hint="eastAsia" w:ascii="仿宋" w:hAnsi="仿宋" w:eastAsia="仿宋" w:cs="仿宋"/>
          <w:sz w:val="32"/>
          <w:szCs w:val="32"/>
        </w:rPr>
        <w:t>具体分解为</w:t>
      </w:r>
      <w:r>
        <w:rPr>
          <w:rFonts w:hint="eastAsia" w:ascii="仿宋" w:hAnsi="仿宋" w:eastAsia="仿宋" w:cs="仿宋"/>
          <w:sz w:val="32"/>
          <w:szCs w:val="32"/>
          <w:lang w:eastAsia="zh-CN"/>
        </w:rPr>
        <w:t>：</w:t>
      </w:r>
      <w:r>
        <w:rPr>
          <w:rFonts w:hint="eastAsia" w:ascii="仿宋" w:hAnsi="仿宋" w:eastAsia="仿宋" w:cs="仿宋"/>
          <w:bCs/>
          <w:color w:val="000000"/>
          <w:sz w:val="32"/>
          <w:szCs w:val="32"/>
          <w:lang w:val="en-US" w:eastAsia="zh-CN"/>
        </w:rPr>
        <w:t>海口市社会福利院资金使用69万元：</w:t>
      </w:r>
      <w:r>
        <w:rPr>
          <w:rFonts w:hint="eastAsia" w:ascii="仿宋" w:hAnsi="仿宋" w:eastAsia="仿宋" w:cs="仿宋"/>
          <w:sz w:val="32"/>
          <w:szCs w:val="32"/>
          <w:lang w:eastAsia="zh-CN"/>
        </w:rPr>
        <w:t>基础设施设备维修维护配套</w:t>
      </w:r>
      <w:r>
        <w:rPr>
          <w:rFonts w:hint="eastAsia" w:ascii="仿宋" w:hAnsi="仿宋" w:eastAsia="仿宋" w:cs="仿宋"/>
          <w:sz w:val="32"/>
          <w:szCs w:val="32"/>
          <w:lang w:val="en-US" w:eastAsia="zh-CN"/>
        </w:rPr>
        <w:t>10万元</w:t>
      </w:r>
      <w:r>
        <w:rPr>
          <w:rFonts w:hint="eastAsia" w:ascii="仿宋" w:hAnsi="仿宋" w:eastAsia="仿宋" w:cs="仿宋"/>
          <w:sz w:val="32"/>
          <w:szCs w:val="32"/>
          <w:lang w:eastAsia="zh-CN"/>
        </w:rPr>
        <w:t>、水电</w:t>
      </w:r>
      <w:r>
        <w:rPr>
          <w:rFonts w:hint="eastAsia" w:ascii="仿宋" w:hAnsi="仿宋" w:eastAsia="仿宋" w:cs="仿宋"/>
          <w:sz w:val="32"/>
          <w:szCs w:val="32"/>
          <w:lang w:val="en-US" w:eastAsia="zh-CN"/>
        </w:rPr>
        <w:t>30万元</w:t>
      </w:r>
      <w:r>
        <w:rPr>
          <w:rFonts w:hint="eastAsia" w:ascii="仿宋" w:hAnsi="仿宋" w:eastAsia="仿宋" w:cs="仿宋"/>
          <w:sz w:val="32"/>
          <w:szCs w:val="32"/>
          <w:lang w:eastAsia="zh-CN"/>
        </w:rPr>
        <w:t>；行政、党建、宣传教育</w:t>
      </w:r>
      <w:r>
        <w:rPr>
          <w:rFonts w:hint="eastAsia" w:ascii="仿宋" w:hAnsi="仿宋" w:eastAsia="仿宋" w:cs="仿宋"/>
          <w:sz w:val="32"/>
          <w:szCs w:val="32"/>
          <w:lang w:val="en-US" w:eastAsia="zh-CN"/>
        </w:rPr>
        <w:t>22万元；</w:t>
      </w:r>
      <w:r>
        <w:rPr>
          <w:rFonts w:hint="eastAsia" w:ascii="仿宋" w:hAnsi="仿宋" w:eastAsia="仿宋" w:cs="仿宋"/>
          <w:sz w:val="32"/>
          <w:szCs w:val="32"/>
          <w:lang w:eastAsia="zh-CN"/>
        </w:rPr>
        <w:t>聘用人员体检</w:t>
      </w:r>
      <w:r>
        <w:rPr>
          <w:rFonts w:hint="eastAsia" w:ascii="仿宋" w:hAnsi="仿宋" w:eastAsia="仿宋" w:cs="仿宋"/>
          <w:sz w:val="32"/>
          <w:szCs w:val="32"/>
          <w:lang w:val="en-US" w:eastAsia="zh-CN"/>
        </w:rPr>
        <w:t>7万元</w:t>
      </w:r>
      <w:r>
        <w:rPr>
          <w:rFonts w:hint="eastAsia" w:ascii="仿宋" w:hAnsi="仿宋" w:eastAsia="仿宋" w:cs="仿宋"/>
          <w:sz w:val="32"/>
          <w:szCs w:val="32"/>
          <w:lang w:eastAsia="zh-CN"/>
        </w:rPr>
        <w:t>等事务。 救灾物资储备仓库工作经费使用</w:t>
      </w:r>
      <w:r>
        <w:rPr>
          <w:rFonts w:hint="eastAsia" w:ascii="仿宋" w:hAnsi="仿宋" w:eastAsia="仿宋" w:cs="仿宋"/>
          <w:sz w:val="32"/>
          <w:szCs w:val="32"/>
          <w:lang w:val="en-US" w:eastAsia="zh-CN"/>
        </w:rPr>
        <w:t>60万元：劳务服务管理费38万元；水电、邮电3万元；维修维护13万元；管理配套费用6万元。</w:t>
      </w:r>
    </w:p>
    <w:p>
      <w:pPr>
        <w:numPr>
          <w:ilvl w:val="0"/>
          <w:numId w:val="4"/>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numPr>
          <w:ilvl w:val="0"/>
          <w:numId w:val="0"/>
        </w:numPr>
        <w:spacing w:line="578" w:lineRule="exac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项目原申报预算</w:t>
      </w:r>
      <w:r>
        <w:rPr>
          <w:rFonts w:hint="eastAsia" w:ascii="仿宋" w:hAnsi="仿宋" w:eastAsia="仿宋" w:cs="仿宋"/>
          <w:sz w:val="32"/>
          <w:szCs w:val="32"/>
          <w:lang w:val="en-US" w:eastAsia="zh-CN"/>
        </w:rPr>
        <w:t>129</w:t>
      </w:r>
      <w:r>
        <w:rPr>
          <w:rFonts w:hint="eastAsia" w:ascii="仿宋" w:hAnsi="仿宋" w:eastAsia="仿宋" w:cs="仿宋"/>
          <w:sz w:val="32"/>
          <w:szCs w:val="32"/>
        </w:rPr>
        <w:t>万元，调整后为</w:t>
      </w:r>
      <w:r>
        <w:rPr>
          <w:rFonts w:hint="eastAsia" w:ascii="仿宋" w:hAnsi="仿宋" w:eastAsia="仿宋" w:cs="仿宋"/>
          <w:sz w:val="32"/>
          <w:szCs w:val="32"/>
          <w:lang w:val="en-US" w:eastAsia="zh-CN"/>
        </w:rPr>
        <w:t>129</w:t>
      </w:r>
      <w:r>
        <w:rPr>
          <w:rFonts w:hint="eastAsia" w:ascii="仿宋" w:hAnsi="仿宋" w:eastAsia="仿宋" w:cs="仿宋"/>
          <w:sz w:val="32"/>
          <w:szCs w:val="32"/>
        </w:rPr>
        <w:t>万元。该项目资金实际已支付</w:t>
      </w:r>
      <w:r>
        <w:rPr>
          <w:rFonts w:hint="eastAsia" w:ascii="仿宋" w:hAnsi="仿宋" w:eastAsia="仿宋" w:cs="仿宋"/>
          <w:sz w:val="32"/>
          <w:szCs w:val="32"/>
          <w:lang w:val="en-US" w:eastAsia="zh-CN"/>
        </w:rPr>
        <w:t>113.31</w:t>
      </w:r>
      <w:r>
        <w:rPr>
          <w:rFonts w:hint="eastAsia" w:ascii="仿宋" w:hAnsi="仿宋" w:eastAsia="仿宋" w:cs="仿宋"/>
          <w:sz w:val="32"/>
          <w:szCs w:val="32"/>
        </w:rPr>
        <w:t>万元，资金使用率</w:t>
      </w:r>
      <w:r>
        <w:rPr>
          <w:rFonts w:hint="eastAsia" w:ascii="仿宋" w:hAnsi="仿宋" w:eastAsia="仿宋" w:cs="仿宋"/>
          <w:sz w:val="32"/>
          <w:szCs w:val="32"/>
          <w:lang w:val="en-US" w:eastAsia="zh-CN"/>
        </w:rPr>
        <w:t>88</w:t>
      </w:r>
      <w:r>
        <w:rPr>
          <w:rFonts w:hint="eastAsia" w:ascii="仿宋" w:hAnsi="仿宋" w:eastAsia="仿宋" w:cs="仿宋"/>
          <w:sz w:val="32"/>
          <w:szCs w:val="32"/>
        </w:rPr>
        <w:t>%。其中:</w:t>
      </w:r>
      <w:r>
        <w:rPr>
          <w:rFonts w:hint="eastAsia" w:ascii="仿宋" w:hAnsi="仿宋" w:eastAsia="仿宋" w:cs="仿宋"/>
          <w:bCs/>
          <w:color w:val="000000"/>
          <w:sz w:val="32"/>
          <w:szCs w:val="32"/>
          <w:lang w:val="en-US" w:eastAsia="zh-CN"/>
        </w:rPr>
        <w:t>海口市社会福利院资金使用54.65万元：</w:t>
      </w:r>
      <w:r>
        <w:rPr>
          <w:rFonts w:hint="eastAsia" w:ascii="仿宋" w:hAnsi="仿宋" w:eastAsia="仿宋" w:cs="仿宋"/>
          <w:sz w:val="32"/>
          <w:szCs w:val="32"/>
          <w:lang w:eastAsia="zh-CN"/>
        </w:rPr>
        <w:t>基础设施设备维修维护配套</w:t>
      </w:r>
      <w:r>
        <w:rPr>
          <w:rFonts w:hint="eastAsia" w:ascii="仿宋" w:hAnsi="仿宋" w:eastAsia="仿宋" w:cs="仿宋"/>
          <w:sz w:val="32"/>
          <w:szCs w:val="32"/>
          <w:lang w:val="en-US" w:eastAsia="zh-CN"/>
        </w:rPr>
        <w:t>5.31万元</w:t>
      </w:r>
      <w:r>
        <w:rPr>
          <w:rFonts w:hint="eastAsia" w:ascii="仿宋" w:hAnsi="仿宋" w:eastAsia="仿宋" w:cs="仿宋"/>
          <w:sz w:val="32"/>
          <w:szCs w:val="32"/>
          <w:lang w:eastAsia="zh-CN"/>
        </w:rPr>
        <w:t>、水电</w:t>
      </w:r>
      <w:r>
        <w:rPr>
          <w:rFonts w:hint="eastAsia" w:ascii="仿宋" w:hAnsi="仿宋" w:eastAsia="仿宋" w:cs="仿宋"/>
          <w:sz w:val="32"/>
          <w:szCs w:val="32"/>
          <w:lang w:val="en-US" w:eastAsia="zh-CN"/>
        </w:rPr>
        <w:t>23.58万元</w:t>
      </w:r>
      <w:r>
        <w:rPr>
          <w:rFonts w:hint="eastAsia" w:ascii="仿宋" w:hAnsi="仿宋" w:eastAsia="仿宋" w:cs="仿宋"/>
          <w:sz w:val="32"/>
          <w:szCs w:val="32"/>
          <w:lang w:eastAsia="zh-CN"/>
        </w:rPr>
        <w:t>；行政、党建、宣传教育</w:t>
      </w:r>
      <w:r>
        <w:rPr>
          <w:rFonts w:hint="eastAsia" w:ascii="仿宋" w:hAnsi="仿宋" w:eastAsia="仿宋" w:cs="仿宋"/>
          <w:sz w:val="32"/>
          <w:szCs w:val="32"/>
          <w:lang w:val="en-US" w:eastAsia="zh-CN"/>
        </w:rPr>
        <w:t>19.68万元；</w:t>
      </w:r>
      <w:r>
        <w:rPr>
          <w:rFonts w:hint="eastAsia" w:ascii="仿宋" w:hAnsi="仿宋" w:eastAsia="仿宋" w:cs="仿宋"/>
          <w:sz w:val="32"/>
          <w:szCs w:val="32"/>
          <w:lang w:eastAsia="zh-CN"/>
        </w:rPr>
        <w:t>聘用人员体检</w:t>
      </w:r>
      <w:r>
        <w:rPr>
          <w:rFonts w:hint="eastAsia" w:ascii="仿宋" w:hAnsi="仿宋" w:eastAsia="仿宋" w:cs="仿宋"/>
          <w:sz w:val="32"/>
          <w:szCs w:val="32"/>
          <w:lang w:val="en-US" w:eastAsia="zh-CN"/>
        </w:rPr>
        <w:t>6.08万元</w:t>
      </w:r>
      <w:r>
        <w:rPr>
          <w:rFonts w:hint="eastAsia" w:ascii="仿宋" w:hAnsi="仿宋" w:eastAsia="仿宋" w:cs="仿宋"/>
          <w:sz w:val="32"/>
          <w:szCs w:val="32"/>
          <w:lang w:eastAsia="zh-CN"/>
        </w:rPr>
        <w:t>等事务，</w:t>
      </w:r>
      <w:r>
        <w:rPr>
          <w:rFonts w:hint="eastAsia" w:ascii="仿宋" w:hAnsi="仿宋" w:eastAsia="仿宋" w:cs="仿宋"/>
          <w:sz w:val="32"/>
          <w:szCs w:val="32"/>
        </w:rPr>
        <w:t>尚有</w:t>
      </w:r>
      <w:r>
        <w:rPr>
          <w:rFonts w:hint="eastAsia" w:ascii="仿宋" w:hAnsi="仿宋" w:eastAsia="仿宋" w:cs="仿宋"/>
          <w:sz w:val="32"/>
          <w:szCs w:val="32"/>
          <w:lang w:val="en-US" w:eastAsia="zh-CN"/>
        </w:rPr>
        <w:t>14.35</w:t>
      </w:r>
      <w:r>
        <w:rPr>
          <w:rFonts w:hint="eastAsia" w:ascii="仿宋" w:hAnsi="仿宋" w:eastAsia="仿宋" w:cs="仿宋"/>
          <w:sz w:val="32"/>
          <w:szCs w:val="32"/>
        </w:rPr>
        <w:t>万元未支付</w:t>
      </w:r>
      <w:r>
        <w:rPr>
          <w:rFonts w:hint="eastAsia" w:ascii="仿宋" w:hAnsi="仿宋" w:eastAsia="仿宋" w:cs="仿宋"/>
          <w:sz w:val="32"/>
          <w:szCs w:val="32"/>
          <w:lang w:eastAsia="zh-CN"/>
        </w:rPr>
        <w:t>，主要原因在于</w:t>
      </w:r>
      <w:r>
        <w:rPr>
          <w:rFonts w:hint="eastAsia" w:ascii="仿宋" w:hAnsi="仿宋" w:eastAsia="仿宋" w:cs="仿宋"/>
          <w:sz w:val="32"/>
          <w:szCs w:val="32"/>
          <w:lang w:val="en-US" w:eastAsia="zh-CN"/>
        </w:rPr>
        <w:t>2019年底财政压缩一般性支出额度，12月水电及工作配套经费未能完成支付。</w:t>
      </w:r>
      <w:r>
        <w:rPr>
          <w:rFonts w:hint="eastAsia" w:ascii="仿宋" w:hAnsi="仿宋" w:eastAsia="仿宋" w:cs="仿宋"/>
          <w:sz w:val="32"/>
          <w:szCs w:val="32"/>
          <w:lang w:eastAsia="zh-CN"/>
        </w:rPr>
        <w:t>救灾物资储备仓库工作经费使用</w:t>
      </w:r>
      <w:r>
        <w:rPr>
          <w:rFonts w:hint="eastAsia" w:ascii="仿宋" w:hAnsi="仿宋" w:eastAsia="仿宋" w:cs="仿宋"/>
          <w:sz w:val="32"/>
          <w:szCs w:val="32"/>
          <w:lang w:val="en-US" w:eastAsia="zh-CN"/>
        </w:rPr>
        <w:t>58.66万元：劳务服务管理费37.46万元；水电、邮电2.84万元；维修维护12.39万元；管理配套费用5.97万元，</w:t>
      </w:r>
      <w:r>
        <w:rPr>
          <w:rFonts w:hint="eastAsia" w:ascii="仿宋" w:hAnsi="仿宋" w:eastAsia="仿宋" w:cs="仿宋"/>
          <w:sz w:val="32"/>
          <w:szCs w:val="32"/>
        </w:rPr>
        <w:t>尚有</w:t>
      </w:r>
      <w:r>
        <w:rPr>
          <w:rFonts w:hint="eastAsia" w:ascii="仿宋" w:hAnsi="仿宋" w:eastAsia="仿宋" w:cs="仿宋"/>
          <w:sz w:val="32"/>
          <w:szCs w:val="32"/>
          <w:lang w:val="en-US" w:eastAsia="zh-CN"/>
        </w:rPr>
        <w:t>1.34</w:t>
      </w:r>
      <w:r>
        <w:rPr>
          <w:rFonts w:hint="eastAsia" w:ascii="仿宋" w:hAnsi="仿宋" w:eastAsia="仿宋" w:cs="仿宋"/>
          <w:sz w:val="32"/>
          <w:szCs w:val="32"/>
        </w:rPr>
        <w:t>万元</w:t>
      </w:r>
      <w:r>
        <w:rPr>
          <w:rFonts w:hint="eastAsia" w:ascii="仿宋" w:hAnsi="仿宋" w:eastAsia="仿宋" w:cs="仿宋"/>
          <w:sz w:val="32"/>
          <w:szCs w:val="32"/>
          <w:lang w:eastAsia="zh-CN"/>
        </w:rPr>
        <w:t>项目结余。</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根据项目经费预算，市福利院“</w:t>
      </w:r>
      <w:r>
        <w:rPr>
          <w:rFonts w:hint="eastAsia" w:ascii="仿宋" w:hAnsi="仿宋" w:eastAsia="仿宋" w:cs="仿宋"/>
          <w:color w:val="000000"/>
          <w:kern w:val="0"/>
          <w:sz w:val="32"/>
          <w:szCs w:val="32"/>
          <w:lang w:eastAsia="zh-CN"/>
        </w:rPr>
        <w:t>综合事务</w:t>
      </w:r>
      <w:r>
        <w:rPr>
          <w:rFonts w:hint="eastAsia" w:ascii="仿宋" w:hAnsi="仿宋" w:eastAsia="仿宋" w:cs="仿宋"/>
          <w:color w:val="000000"/>
          <w:kern w:val="0"/>
          <w:sz w:val="32"/>
          <w:szCs w:val="32"/>
        </w:rPr>
        <w:t>”项目运行按照资金申请、审核、审批、执行支出、报账等环节进行项目管理。截止201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年12月底项目已经全部实施完成</w:t>
      </w:r>
      <w:r>
        <w:rPr>
          <w:rFonts w:hint="eastAsia" w:ascii="仿宋" w:hAnsi="仿宋" w:eastAsia="仿宋" w:cs="仿宋"/>
          <w:color w:val="000000"/>
          <w:kern w:val="0"/>
          <w:sz w:val="32"/>
          <w:szCs w:val="32"/>
          <w:lang w:eastAsia="zh-CN"/>
        </w:rPr>
        <w:t>。</w:t>
      </w:r>
    </w:p>
    <w:p>
      <w:pPr>
        <w:numPr>
          <w:ilvl w:val="0"/>
          <w:numId w:val="5"/>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项目完成质量</w:t>
      </w:r>
    </w:p>
    <w:p>
      <w:pPr>
        <w:spacing w:line="578"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对于</w:t>
      </w:r>
      <w:r>
        <w:rPr>
          <w:rFonts w:hint="eastAsia" w:ascii="仿宋" w:hAnsi="仿宋" w:eastAsia="仿宋" w:cs="仿宋"/>
          <w:b w:val="0"/>
          <w:bCs w:val="0"/>
          <w:sz w:val="32"/>
          <w:szCs w:val="32"/>
          <w:lang w:eastAsia="zh-CN"/>
        </w:rPr>
        <w:t>我院文化宣传工作、党建工作、聘用人员体检、水电费、消防设施安全检测等</w:t>
      </w:r>
      <w:r>
        <w:rPr>
          <w:rFonts w:hint="eastAsia" w:ascii="仿宋_GB2312" w:hAnsi="仿宋_GB2312" w:eastAsia="仿宋_GB2312" w:cs="仿宋_GB2312"/>
          <w:b w:val="0"/>
          <w:bCs w:val="0"/>
          <w:sz w:val="32"/>
          <w:szCs w:val="32"/>
        </w:rPr>
        <w:t>支出方面，未出现任何支出程序或报账程序不合规情况，实施进度按工作计划进行，高质量完成该项目。</w:t>
      </w:r>
    </w:p>
    <w:p>
      <w:pPr>
        <w:spacing w:line="578" w:lineRule="exact"/>
        <w:ind w:firstLine="640" w:firstLineChars="200"/>
        <w:rPr>
          <w:rFonts w:hint="eastAsia" w:ascii="仿宋_GB2312" w:hAnsi="仿宋_GB2312" w:eastAsia="仿宋" w:cs="仿宋_GB2312"/>
          <w:sz w:val="32"/>
          <w:szCs w:val="32"/>
          <w:lang w:eastAsia="zh-CN"/>
        </w:rPr>
      </w:pPr>
      <w:r>
        <w:rPr>
          <w:rFonts w:hint="eastAsia" w:ascii="仿宋" w:hAnsi="仿宋" w:eastAsia="仿宋" w:cs="仿宋"/>
          <w:bCs/>
          <w:sz w:val="32"/>
          <w:szCs w:val="32"/>
        </w:rPr>
        <w:t>市福利院</w:t>
      </w:r>
      <w:r>
        <w:rPr>
          <w:rFonts w:hint="eastAsia" w:ascii="仿宋" w:hAnsi="仿宋" w:eastAsia="仿宋" w:cs="仿宋"/>
          <w:sz w:val="32"/>
          <w:szCs w:val="32"/>
        </w:rPr>
        <w:t>根据项目年初预算安排</w:t>
      </w:r>
      <w:r>
        <w:rPr>
          <w:rFonts w:hint="eastAsia" w:ascii="仿宋" w:hAnsi="仿宋" w:eastAsia="仿宋" w:cs="仿宋"/>
          <w:color w:val="000000"/>
          <w:kern w:val="0"/>
          <w:sz w:val="32"/>
          <w:szCs w:val="32"/>
        </w:rPr>
        <w:t>资金支配</w:t>
      </w:r>
      <w:r>
        <w:rPr>
          <w:rFonts w:hint="eastAsia" w:ascii="仿宋" w:hAnsi="仿宋" w:eastAsia="仿宋" w:cs="仿宋"/>
          <w:sz w:val="32"/>
          <w:szCs w:val="32"/>
        </w:rPr>
        <w:t>方案，细化项目各岗位职责，合理配置资源组织人员</w:t>
      </w:r>
      <w:r>
        <w:rPr>
          <w:rFonts w:hint="eastAsia" w:ascii="仿宋" w:hAnsi="仿宋" w:eastAsia="仿宋" w:cs="仿宋"/>
          <w:sz w:val="32"/>
          <w:szCs w:val="32"/>
          <w:lang w:eastAsia="zh-CN"/>
        </w:rPr>
        <w:t>对各项维修维护、服务配套、宣传、救灾物资仓库支出等建立相应验收及监督。</w:t>
      </w:r>
      <w:r>
        <w:rPr>
          <w:rFonts w:hint="eastAsia" w:ascii="仿宋" w:hAnsi="仿宋" w:eastAsia="仿宋" w:cs="仿宋"/>
          <w:bCs/>
          <w:sz w:val="32"/>
          <w:szCs w:val="32"/>
        </w:rPr>
        <w:t>建立项目控制管理机制，</w:t>
      </w:r>
      <w:r>
        <w:rPr>
          <w:rFonts w:hint="eastAsia" w:ascii="仿宋" w:hAnsi="仿宋" w:eastAsia="仿宋" w:cs="仿宋"/>
          <w:sz w:val="32"/>
          <w:szCs w:val="32"/>
        </w:rPr>
        <w:t>规避项目风险，</w:t>
      </w:r>
      <w:r>
        <w:rPr>
          <w:rFonts w:hint="eastAsia" w:ascii="仿宋_GB2312" w:hAnsi="仿宋_GB2312" w:eastAsia="仿宋_GB2312" w:cs="仿宋_GB2312"/>
          <w:b w:val="0"/>
          <w:bCs w:val="0"/>
          <w:sz w:val="32"/>
          <w:szCs w:val="32"/>
        </w:rPr>
        <w:t>未出现任何支出程序或报账程序不合规情况，实施进度按工作计划进行，</w:t>
      </w:r>
      <w:r>
        <w:rPr>
          <w:rFonts w:hint="eastAsia" w:ascii="仿宋" w:hAnsi="仿宋" w:eastAsia="仿宋" w:cs="仿宋"/>
          <w:sz w:val="32"/>
          <w:szCs w:val="32"/>
        </w:rPr>
        <w:t>确保了整个项目的质量，项目完成质量较好</w:t>
      </w:r>
      <w:r>
        <w:rPr>
          <w:rFonts w:hint="eastAsia" w:ascii="仿宋" w:hAnsi="仿宋" w:eastAsia="仿宋" w:cs="仿宋"/>
          <w:sz w:val="32"/>
          <w:szCs w:val="32"/>
          <w:lang w:eastAsia="zh-CN"/>
        </w:rPr>
        <w:t>。</w:t>
      </w:r>
    </w:p>
    <w:p>
      <w:pPr>
        <w:numPr>
          <w:ilvl w:val="0"/>
          <w:numId w:val="6"/>
        </w:num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项目的</w:t>
      </w:r>
      <w:r>
        <w:rPr>
          <w:rFonts w:hint="eastAsia" w:ascii="仿宋_GB2312" w:hAnsi="仿宋_GB2312" w:eastAsia="仿宋_GB2312" w:cs="仿宋_GB2312"/>
          <w:sz w:val="32"/>
          <w:szCs w:val="32"/>
        </w:rPr>
        <w:t>效益性分析</w:t>
      </w:r>
    </w:p>
    <w:p>
      <w:pPr>
        <w:spacing w:line="578"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40" w:firstLineChars="200"/>
        <w:rPr>
          <w:bCs/>
          <w:szCs w:val="32"/>
        </w:rPr>
      </w:pPr>
      <w:r>
        <w:rPr>
          <w:rFonts w:hint="eastAsia" w:ascii="仿宋" w:hAnsi="仿宋" w:eastAsia="仿宋" w:cs="仿宋"/>
          <w:bCs/>
          <w:sz w:val="32"/>
          <w:szCs w:val="32"/>
        </w:rPr>
        <w:t>本项目产出指标</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保障大院各项基础设施维修、水电供应，以购买服务的</w:t>
      </w:r>
      <w:r>
        <w:rPr>
          <w:rFonts w:hint="eastAsia" w:ascii="仿宋" w:hAnsi="仿宋" w:eastAsia="仿宋" w:cs="仿宋"/>
          <w:bCs/>
          <w:sz w:val="32"/>
          <w:szCs w:val="32"/>
        </w:rPr>
        <w:t>形式提供</w:t>
      </w:r>
      <w:r>
        <w:rPr>
          <w:rFonts w:hint="eastAsia" w:ascii="仿宋" w:hAnsi="仿宋" w:eastAsia="仿宋" w:cs="仿宋"/>
          <w:bCs/>
          <w:sz w:val="32"/>
          <w:szCs w:val="32"/>
          <w:lang w:eastAsia="zh-CN"/>
        </w:rPr>
        <w:t>救助仓库</w:t>
      </w:r>
      <w:r>
        <w:rPr>
          <w:rFonts w:hint="eastAsia" w:ascii="仿宋" w:hAnsi="仿宋" w:eastAsia="仿宋" w:cs="仿宋"/>
          <w:bCs/>
          <w:sz w:val="32"/>
          <w:szCs w:val="32"/>
        </w:rPr>
        <w:t>就业岗位。成效指标：</w:t>
      </w:r>
      <w:r>
        <w:rPr>
          <w:rFonts w:hint="eastAsia" w:ascii="仿宋" w:hAnsi="仿宋" w:eastAsia="仿宋" w:cs="仿宋"/>
          <w:color w:val="000000"/>
          <w:sz w:val="32"/>
          <w:szCs w:val="32"/>
        </w:rPr>
        <w:t>社会效益、</w:t>
      </w:r>
      <w:r>
        <w:rPr>
          <w:rFonts w:hint="eastAsia" w:ascii="仿宋" w:hAnsi="仿宋" w:eastAsia="仿宋" w:cs="仿宋"/>
          <w:color w:val="000000"/>
          <w:sz w:val="32"/>
          <w:szCs w:val="32"/>
          <w:shd w:val="clear" w:color="auto" w:fill="FFFFFF"/>
        </w:rPr>
        <w:t>提供就业岗位及专业服务培训</w:t>
      </w:r>
      <w:r>
        <w:rPr>
          <w:rFonts w:hint="eastAsia" w:ascii="仿宋" w:hAnsi="仿宋" w:eastAsia="仿宋" w:cs="仿宋"/>
          <w:color w:val="000000"/>
          <w:sz w:val="32"/>
          <w:szCs w:val="32"/>
        </w:rPr>
        <w:t>；</w:t>
      </w:r>
      <w:r>
        <w:rPr>
          <w:rFonts w:hint="eastAsia" w:ascii="仿宋" w:hAnsi="仿宋" w:eastAsia="仿宋" w:cs="仿宋"/>
          <w:bCs/>
          <w:sz w:val="32"/>
          <w:szCs w:val="32"/>
        </w:rPr>
        <w:t>效率指标：</w:t>
      </w:r>
      <w:r>
        <w:rPr>
          <w:rFonts w:hint="eastAsia" w:ascii="仿宋" w:hAnsi="仿宋" w:eastAsia="仿宋" w:cs="仿宋"/>
          <w:sz w:val="32"/>
          <w:szCs w:val="32"/>
        </w:rPr>
        <w:t>可持续性影响</w:t>
      </w:r>
      <w:r>
        <w:rPr>
          <w:rFonts w:hint="eastAsia" w:ascii="仿宋" w:hAnsi="仿宋" w:eastAsia="仿宋" w:cs="仿宋"/>
          <w:color w:val="000000"/>
          <w:sz w:val="32"/>
          <w:szCs w:val="32"/>
        </w:rPr>
        <w:t>、</w:t>
      </w:r>
      <w:r>
        <w:rPr>
          <w:rFonts w:hint="eastAsia" w:ascii="仿宋" w:hAnsi="仿宋" w:eastAsia="仿宋" w:cs="仿宋"/>
          <w:sz w:val="32"/>
          <w:szCs w:val="32"/>
        </w:rPr>
        <w:t>组织管理水平</w:t>
      </w:r>
      <w:r>
        <w:rPr>
          <w:rFonts w:hint="eastAsia" w:ascii="仿宋" w:hAnsi="仿宋" w:eastAsia="仿宋" w:cs="仿宋"/>
          <w:bCs/>
          <w:sz w:val="32"/>
          <w:szCs w:val="32"/>
        </w:rPr>
        <w:t>等都达到了项目的预基目标。</w:t>
      </w:r>
    </w:p>
    <w:p>
      <w:pPr>
        <w:numPr>
          <w:ilvl w:val="0"/>
          <w:numId w:val="0"/>
        </w:numPr>
        <w:spacing w:line="578"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项目实施对经济和社会的影响</w:t>
      </w:r>
    </w:p>
    <w:p>
      <w:pPr>
        <w:ind w:firstLine="560"/>
        <w:rPr>
          <w:rFonts w:hint="eastAsia" w:ascii="仿宋" w:hAnsi="仿宋" w:eastAsia="仿宋" w:cs="仿宋"/>
          <w:sz w:val="32"/>
          <w:szCs w:val="32"/>
        </w:rPr>
      </w:pPr>
      <w:r>
        <w:rPr>
          <w:rFonts w:hint="eastAsia" w:ascii="仿宋" w:hAnsi="仿宋" w:eastAsia="仿宋" w:cs="仿宋"/>
          <w:sz w:val="32"/>
          <w:szCs w:val="32"/>
        </w:rPr>
        <w:t>本项目实施产生的经济效益主要有：</w:t>
      </w:r>
      <w:r>
        <w:rPr>
          <w:rFonts w:hint="eastAsia" w:ascii="仿宋" w:hAnsi="仿宋" w:eastAsia="仿宋" w:cs="仿宋"/>
          <w:sz w:val="32"/>
          <w:szCs w:val="32"/>
          <w:lang w:eastAsia="zh-CN"/>
        </w:rPr>
        <w:t>提供集中供养人群服务配套</w:t>
      </w:r>
      <w:r>
        <w:rPr>
          <w:rFonts w:hint="eastAsia" w:ascii="仿宋" w:hAnsi="仿宋" w:eastAsia="仿宋" w:cs="仿宋"/>
          <w:sz w:val="32"/>
          <w:szCs w:val="32"/>
        </w:rPr>
        <w:t>，提高服务质量</w:t>
      </w:r>
      <w:r>
        <w:rPr>
          <w:rFonts w:hint="eastAsia" w:ascii="仿宋" w:hAnsi="仿宋" w:eastAsia="仿宋" w:cs="仿宋"/>
          <w:sz w:val="32"/>
          <w:szCs w:val="32"/>
          <w:lang w:eastAsia="zh-CN"/>
        </w:rPr>
        <w:t>，完善支部党建工作。保障市救灾物资仓库正常工作运转，</w:t>
      </w:r>
      <w:r>
        <w:rPr>
          <w:rFonts w:hint="eastAsia" w:ascii="仿宋" w:hAnsi="仿宋" w:eastAsia="仿宋" w:cs="仿宋"/>
          <w:sz w:val="32"/>
          <w:szCs w:val="32"/>
        </w:rPr>
        <w:t>确保项目的稳定运行，促进政府财政资金安全稳定流转，提高财政部门、预算单位的工作效率，降底业务应用成本。</w:t>
      </w:r>
    </w:p>
    <w:p>
      <w:pPr>
        <w:numPr>
          <w:ilvl w:val="0"/>
          <w:numId w:val="0"/>
        </w:numPr>
        <w:spacing w:line="578" w:lineRule="exact"/>
        <w:ind w:firstLine="640"/>
        <w:outlineLvl w:val="0"/>
        <w:rPr>
          <w:rFonts w:hint="eastAsia" w:ascii="仿宋" w:hAnsi="仿宋" w:eastAsia="仿宋" w:cs="仿宋"/>
          <w:b w:val="0"/>
          <w:bCs w:val="0"/>
          <w:color w:val="auto"/>
          <w:sz w:val="32"/>
          <w:szCs w:val="32"/>
        </w:rPr>
      </w:pPr>
      <w:r>
        <w:rPr>
          <w:rFonts w:hint="eastAsia" w:ascii="仿宋" w:hAnsi="仿宋" w:eastAsia="仿宋" w:cs="仿宋"/>
          <w:sz w:val="32"/>
          <w:szCs w:val="32"/>
        </w:rPr>
        <w:t>产生的社会效益有：</w:t>
      </w:r>
      <w:r>
        <w:rPr>
          <w:rFonts w:hint="eastAsia" w:ascii="仿宋_GB2312" w:hAnsi="仿宋_GB2312" w:eastAsia="仿宋_GB2312" w:cs="仿宋_GB2312"/>
          <w:b w:val="0"/>
          <w:bCs w:val="0"/>
          <w:color w:val="auto"/>
          <w:sz w:val="32"/>
          <w:szCs w:val="32"/>
          <w:lang w:val="en-US" w:eastAsia="zh-CN"/>
        </w:rPr>
        <w:t>综合事务项目保障了院文化宣传工作、</w:t>
      </w:r>
      <w:r>
        <w:rPr>
          <w:rFonts w:hint="eastAsia" w:ascii="仿宋" w:hAnsi="仿宋" w:eastAsia="仿宋" w:cs="仿宋"/>
          <w:b w:val="0"/>
          <w:bCs w:val="0"/>
          <w:color w:val="auto"/>
          <w:sz w:val="32"/>
          <w:szCs w:val="32"/>
          <w:lang w:eastAsia="zh-CN"/>
        </w:rPr>
        <w:t>党建工作、聘用人员体检、水电费、消防设施安全检测等</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sz w:val="32"/>
          <w:szCs w:val="32"/>
          <w:lang w:val="en-US" w:eastAsia="zh-CN"/>
        </w:rPr>
        <w:t>，丰富了我院职工及院民的知识，保证了我院职工及院民的健康安全，提升了我院职工及院民的生活质量，单位荣获机关党建示范点称号，促进我院高质量发展。</w:t>
      </w:r>
      <w:r>
        <w:rPr>
          <w:rFonts w:hint="eastAsia" w:ascii="仿宋" w:hAnsi="仿宋" w:eastAsia="仿宋" w:cs="仿宋"/>
          <w:b w:val="0"/>
          <w:bCs w:val="0"/>
          <w:color w:val="auto"/>
          <w:sz w:val="32"/>
          <w:szCs w:val="32"/>
        </w:rPr>
        <w:t>通过不断的完善生活条件及服务水平，社会效益良好。</w:t>
      </w:r>
    </w:p>
    <w:p>
      <w:pPr>
        <w:numPr>
          <w:ilvl w:val="0"/>
          <w:numId w:val="6"/>
        </w:numPr>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项目的可持续性分析</w:t>
      </w:r>
    </w:p>
    <w:p>
      <w:pPr>
        <w:numPr>
          <w:ilvl w:val="0"/>
          <w:numId w:val="0"/>
        </w:num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主要是对项目完成后，后续政策、资金、人员机构安排和管理措施等影响项目持续发展的因素进行分析</w:t>
      </w:r>
      <w:r>
        <w:rPr>
          <w:rFonts w:hint="eastAsia" w:ascii="仿宋" w:hAnsi="仿宋" w:eastAsia="仿宋" w:cs="仿宋"/>
          <w:color w:val="000000"/>
          <w:kern w:val="0"/>
          <w:sz w:val="32"/>
          <w:szCs w:val="32"/>
        </w:rPr>
        <w:t>人性化的管理规范、细化各项管理制度、建立安全督查工作考核机制以及制定应紧急、突发事件的应对预案等</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确保各项生活配套设施设备的正常运行。</w:t>
      </w:r>
      <w:r>
        <w:rPr>
          <w:rFonts w:hint="eastAsia" w:ascii="仿宋" w:hAnsi="仿宋" w:eastAsia="仿宋" w:cs="仿宋"/>
          <w:bCs/>
          <w:color w:val="000000"/>
          <w:sz w:val="32"/>
          <w:szCs w:val="32"/>
        </w:rPr>
        <w:t xml:space="preserve"> </w:t>
      </w:r>
      <w:r>
        <w:rPr>
          <w:rFonts w:hint="eastAsia" w:ascii="仿宋_GB2312" w:hAnsi="仿宋_GB2312" w:eastAsia="仿宋_GB2312" w:cs="仿宋_GB2312"/>
          <w:bCs/>
          <w:color w:val="000000"/>
          <w:sz w:val="32"/>
          <w:szCs w:val="32"/>
        </w:rPr>
        <w:t xml:space="preserve">  </w:t>
      </w:r>
    </w:p>
    <w:p>
      <w:pPr>
        <w:numPr>
          <w:ilvl w:val="0"/>
          <w:numId w:val="3"/>
        </w:numPr>
        <w:tabs>
          <w:tab w:val="left" w:pos="878"/>
        </w:tabs>
        <w:spacing w:line="578" w:lineRule="exact"/>
        <w:ind w:left="420" w:leftChars="200" w:firstLine="0" w:firstLine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项目绩效目标未完成原因分析</w:t>
      </w:r>
    </w:p>
    <w:p>
      <w:pPr>
        <w:numPr>
          <w:ilvl w:val="0"/>
          <w:numId w:val="0"/>
        </w:numPr>
        <w:tabs>
          <w:tab w:val="left" w:pos="878"/>
        </w:tabs>
        <w:spacing w:line="578" w:lineRule="exact"/>
        <w:ind w:leftChars="200"/>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无</w:t>
      </w:r>
    </w:p>
    <w:p>
      <w:pPr>
        <w:spacing w:line="578" w:lineRule="exac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五、综合评价情况及评价结论</w:t>
      </w:r>
    </w:p>
    <w:p>
      <w:pPr>
        <w:spacing w:line="59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项目绩效评价工作小组按照项目评价指标表，从项目决策、项目管理、项目绩效三方面对项目进行综合评价，对各项指标进行综合打分；经评价，201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eastAsia="zh-CN"/>
        </w:rPr>
        <w:t>海口市社会福利院综合事务</w:t>
      </w:r>
      <w:r>
        <w:rPr>
          <w:rFonts w:hint="eastAsia" w:ascii="仿宋" w:hAnsi="仿宋" w:eastAsia="仿宋" w:cs="仿宋"/>
          <w:sz w:val="32"/>
          <w:szCs w:val="32"/>
        </w:rPr>
        <w:t>项目综合平均得分为</w:t>
      </w:r>
      <w:r>
        <w:rPr>
          <w:rFonts w:hint="eastAsia" w:ascii="仿宋" w:hAnsi="仿宋" w:eastAsia="仿宋" w:cs="仿宋"/>
          <w:sz w:val="32"/>
          <w:szCs w:val="32"/>
          <w:lang w:val="en-US" w:eastAsia="zh-CN"/>
        </w:rPr>
        <w:t>94</w:t>
      </w:r>
      <w:r>
        <w:rPr>
          <w:rFonts w:hint="eastAsia" w:ascii="仿宋" w:hAnsi="仿宋" w:eastAsia="仿宋" w:cs="仿宋"/>
          <w:sz w:val="32"/>
          <w:szCs w:val="32"/>
        </w:rPr>
        <w:t>分，评价等次为优秀，达到了预期设定的项目绩效目标 (评价人员绩效评价指标评分表见附件1) 。</w:t>
      </w:r>
    </w:p>
    <w:p>
      <w:pPr>
        <w:spacing w:line="578" w:lineRule="exact"/>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六、主要经验及做法、存在的问题和建议</w:t>
      </w:r>
    </w:p>
    <w:p>
      <w:pPr>
        <w:spacing w:line="578"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本项目的资金全部是市财政资金，项目的资金支出严格按财政资金使用管理办法和海口市福利院资金使用管理办法执行，</w:t>
      </w:r>
      <w:r>
        <w:rPr>
          <w:rFonts w:hint="eastAsia" w:ascii="仿宋" w:hAnsi="仿宋" w:eastAsia="仿宋" w:cs="仿宋"/>
          <w:color w:val="000000"/>
          <w:sz w:val="32"/>
          <w:szCs w:val="32"/>
        </w:rPr>
        <w:t>严格按照现行的会计管理办法，</w:t>
      </w:r>
      <w:r>
        <w:rPr>
          <w:rFonts w:hint="eastAsia" w:ascii="仿宋" w:hAnsi="仿宋" w:eastAsia="仿宋" w:cs="仿宋"/>
          <w:color w:val="000000"/>
          <w:sz w:val="32"/>
          <w:szCs w:val="32"/>
          <w:lang w:eastAsia="zh-CN"/>
        </w:rPr>
        <w:t>做</w:t>
      </w:r>
      <w:r>
        <w:rPr>
          <w:rFonts w:hint="eastAsia" w:ascii="仿宋" w:hAnsi="仿宋" w:eastAsia="仿宋" w:cs="仿宋"/>
          <w:bCs/>
          <w:sz w:val="32"/>
          <w:szCs w:val="32"/>
        </w:rPr>
        <w:t>到项目专款专用。</w:t>
      </w:r>
    </w:p>
    <w:p>
      <w:pPr>
        <w:spacing w:line="578" w:lineRule="exact"/>
        <w:ind w:firstLine="640"/>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（一）、主要经验及做法：</w:t>
      </w:r>
    </w:p>
    <w:p>
      <w:pPr>
        <w:spacing w:line="578" w:lineRule="exact"/>
        <w:ind w:firstLine="640"/>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“综合事务”项目的实施应以保障</w:t>
      </w:r>
      <w:r>
        <w:rPr>
          <w:rFonts w:hint="eastAsia" w:ascii="仿宋" w:hAnsi="仿宋" w:eastAsia="仿宋" w:cs="仿宋"/>
          <w:b w:val="0"/>
          <w:bCs/>
          <w:sz w:val="32"/>
          <w:szCs w:val="32"/>
          <w:lang w:eastAsia="zh-CN"/>
        </w:rPr>
        <w:t>我院文化宣传工作、党建工作、聘用人员体检、水电费、消防设施安全检测等；救灾物资储备</w:t>
      </w:r>
      <w:r>
        <w:rPr>
          <w:rFonts w:hint="eastAsia" w:ascii="仿宋_GB2312" w:hAnsi="仿宋_GB2312" w:eastAsia="仿宋_GB2312" w:cs="仿宋_GB2312"/>
          <w:b w:val="0"/>
          <w:bCs/>
          <w:sz w:val="32"/>
          <w:szCs w:val="32"/>
        </w:rPr>
        <w:t>工作任务为中心，项目的实施将对</w:t>
      </w:r>
      <w:r>
        <w:rPr>
          <w:rFonts w:hint="eastAsia" w:ascii="仿宋_GB2312" w:hAnsi="仿宋_GB2312" w:eastAsia="仿宋_GB2312" w:cs="仿宋_GB2312"/>
          <w:b w:val="0"/>
          <w:bCs/>
          <w:sz w:val="32"/>
          <w:szCs w:val="32"/>
          <w:lang w:eastAsia="zh-CN"/>
        </w:rPr>
        <w:t>职工</w:t>
      </w:r>
      <w:r>
        <w:rPr>
          <w:rFonts w:hint="eastAsia" w:ascii="仿宋_GB2312" w:hAnsi="仿宋_GB2312" w:eastAsia="仿宋_GB2312" w:cs="仿宋_GB2312"/>
          <w:b w:val="0"/>
          <w:bCs/>
          <w:sz w:val="32"/>
          <w:szCs w:val="32"/>
        </w:rPr>
        <w:t>及</w:t>
      </w:r>
      <w:r>
        <w:rPr>
          <w:rFonts w:hint="eastAsia" w:ascii="仿宋_GB2312" w:hAnsi="仿宋_GB2312" w:eastAsia="仿宋_GB2312" w:cs="仿宋_GB2312"/>
          <w:b w:val="0"/>
          <w:bCs/>
          <w:sz w:val="32"/>
          <w:szCs w:val="32"/>
          <w:lang w:eastAsia="zh-CN"/>
        </w:rPr>
        <w:t>院民</w:t>
      </w:r>
      <w:r>
        <w:rPr>
          <w:rFonts w:hint="eastAsia" w:ascii="仿宋_GB2312" w:hAnsi="仿宋_GB2312" w:eastAsia="仿宋_GB2312" w:cs="仿宋_GB2312"/>
          <w:b w:val="0"/>
          <w:bCs/>
          <w:sz w:val="32"/>
          <w:szCs w:val="32"/>
        </w:rPr>
        <w:t>知识的</w:t>
      </w:r>
      <w:r>
        <w:rPr>
          <w:rFonts w:hint="eastAsia" w:ascii="仿宋_GB2312" w:hAnsi="仿宋_GB2312" w:eastAsia="仿宋_GB2312" w:cs="仿宋_GB2312"/>
          <w:b w:val="0"/>
          <w:bCs/>
          <w:sz w:val="32"/>
          <w:szCs w:val="32"/>
          <w:lang w:eastAsia="zh-CN"/>
        </w:rPr>
        <w:t>储备、</w:t>
      </w:r>
      <w:r>
        <w:rPr>
          <w:rFonts w:hint="eastAsia" w:ascii="仿宋_GB2312" w:hAnsi="仿宋_GB2312" w:eastAsia="仿宋_GB2312" w:cs="仿宋_GB2312"/>
          <w:b w:val="0"/>
          <w:bCs/>
          <w:sz w:val="32"/>
          <w:szCs w:val="32"/>
          <w:lang w:val="en-US" w:eastAsia="zh-CN"/>
        </w:rPr>
        <w:t>职工及院民的健康安全</w:t>
      </w:r>
      <w:r>
        <w:rPr>
          <w:rFonts w:hint="eastAsia" w:ascii="仿宋_GB2312" w:hAnsi="仿宋_GB2312" w:eastAsia="仿宋_GB2312" w:cs="仿宋_GB2312"/>
          <w:b w:val="0"/>
          <w:bCs/>
          <w:sz w:val="32"/>
          <w:szCs w:val="32"/>
        </w:rPr>
        <w:t>等提供有力保障，对</w:t>
      </w:r>
      <w:r>
        <w:rPr>
          <w:rFonts w:hint="eastAsia" w:ascii="仿宋_GB2312" w:hAnsi="仿宋_GB2312" w:eastAsia="仿宋_GB2312" w:cs="仿宋_GB2312"/>
          <w:b w:val="0"/>
          <w:bCs/>
          <w:sz w:val="32"/>
          <w:szCs w:val="32"/>
          <w:lang w:eastAsia="zh-CN"/>
        </w:rPr>
        <w:t>推动我院</w:t>
      </w:r>
      <w:r>
        <w:rPr>
          <w:rFonts w:hint="eastAsia" w:ascii="仿宋_GB2312" w:hAnsi="仿宋_GB2312" w:eastAsia="仿宋_GB2312" w:cs="仿宋_GB2312"/>
          <w:b w:val="0"/>
          <w:bCs/>
          <w:sz w:val="32"/>
          <w:szCs w:val="32"/>
        </w:rPr>
        <w:t>的发展提供有力</w:t>
      </w:r>
      <w:r>
        <w:rPr>
          <w:rFonts w:hint="eastAsia" w:ascii="仿宋_GB2312" w:hAnsi="仿宋_GB2312" w:eastAsia="仿宋_GB2312" w:cs="仿宋_GB2312"/>
          <w:b w:val="0"/>
          <w:bCs/>
          <w:sz w:val="32"/>
          <w:szCs w:val="32"/>
          <w:lang w:eastAsia="zh-CN"/>
        </w:rPr>
        <w:t>保障</w:t>
      </w:r>
      <w:r>
        <w:rPr>
          <w:rFonts w:hint="eastAsia" w:ascii="仿宋_GB2312" w:hAnsi="仿宋_GB2312" w:eastAsia="仿宋_GB2312" w:cs="仿宋_GB2312"/>
          <w:b w:val="0"/>
          <w:bCs/>
          <w:sz w:val="32"/>
          <w:szCs w:val="32"/>
        </w:rPr>
        <w:t>。</w:t>
      </w:r>
    </w:p>
    <w:p>
      <w:pPr>
        <w:spacing w:line="578" w:lineRule="exact"/>
        <w:ind w:firstLine="640"/>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（二）存在的问题</w:t>
      </w:r>
      <w:r>
        <w:rPr>
          <w:rFonts w:hint="eastAsia" w:ascii="仿宋_GB2312" w:hAnsi="仿宋_GB2312" w:eastAsia="仿宋_GB2312" w:cs="仿宋_GB2312"/>
          <w:b w:val="0"/>
          <w:bCs/>
          <w:sz w:val="32"/>
          <w:szCs w:val="32"/>
          <w:lang w:eastAsia="zh-CN"/>
        </w:rPr>
        <w:t>及建议</w:t>
      </w:r>
      <w:r>
        <w:rPr>
          <w:rFonts w:hint="eastAsia" w:ascii="仿宋_GB2312" w:hAnsi="仿宋_GB2312" w:eastAsia="仿宋_GB2312" w:cs="仿宋_GB2312"/>
          <w:b w:val="0"/>
          <w:bCs/>
          <w:sz w:val="32"/>
          <w:szCs w:val="32"/>
        </w:rPr>
        <w:t>：</w:t>
      </w:r>
    </w:p>
    <w:p>
      <w:pPr>
        <w:spacing w:line="578" w:lineRule="exact"/>
        <w:ind w:firstLine="640"/>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项目相关绩效目标量化指标不够准确。</w:t>
      </w:r>
      <w:r>
        <w:rPr>
          <w:rFonts w:hint="eastAsia" w:ascii="仿宋_GB2312" w:hAnsi="仿宋_GB2312" w:eastAsia="仿宋_GB2312" w:cs="仿宋_GB2312"/>
          <w:b w:val="0"/>
          <w:bCs/>
          <w:sz w:val="32"/>
          <w:szCs w:val="32"/>
          <w:lang w:eastAsia="zh-CN"/>
        </w:rPr>
        <w:t>建议</w:t>
      </w:r>
      <w:r>
        <w:rPr>
          <w:rFonts w:hint="eastAsia" w:ascii="仿宋_GB2312" w:hAnsi="仿宋_GB2312" w:eastAsia="仿宋_GB2312" w:cs="仿宋_GB2312"/>
          <w:b w:val="0"/>
          <w:bCs/>
          <w:sz w:val="32"/>
          <w:szCs w:val="32"/>
        </w:rPr>
        <w:t>设置项目的绩效量化目标时要先进行深入、细致的了解项目实施的主要工作及流程，分析项目的用途及效益，最后项目的产出目标设置应能较好地、完整地体现项目的产出情况及社会经济效益。</w:t>
      </w:r>
    </w:p>
    <w:p>
      <w:pPr>
        <w:rPr>
          <w:b w:val="0"/>
          <w:bCs/>
        </w:rPr>
      </w:pPr>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5D124"/>
    <w:multiLevelType w:val="singleLevel"/>
    <w:tmpl w:val="9565D124"/>
    <w:lvl w:ilvl="0" w:tentative="0">
      <w:start w:val="1"/>
      <w:numFmt w:val="chineseCounting"/>
      <w:suff w:val="nothing"/>
      <w:lvlText w:val="%1、"/>
      <w:lvlJc w:val="left"/>
      <w:rPr>
        <w:rFonts w:hint="eastAsia"/>
      </w:rPr>
    </w:lvl>
  </w:abstractNum>
  <w:abstractNum w:abstractNumId="1">
    <w:nsid w:val="CE791679"/>
    <w:multiLevelType w:val="singleLevel"/>
    <w:tmpl w:val="CE791679"/>
    <w:lvl w:ilvl="0" w:tentative="0">
      <w:start w:val="1"/>
      <w:numFmt w:val="decimal"/>
      <w:suff w:val="nothing"/>
      <w:lvlText w:val="%1、"/>
      <w:lvlJc w:val="left"/>
    </w:lvl>
  </w:abstractNum>
  <w:abstractNum w:abstractNumId="2">
    <w:nsid w:val="F99582C3"/>
    <w:multiLevelType w:val="singleLevel"/>
    <w:tmpl w:val="F99582C3"/>
    <w:lvl w:ilvl="0" w:tentative="0">
      <w:start w:val="1"/>
      <w:numFmt w:val="chineseCounting"/>
      <w:suff w:val="nothing"/>
      <w:lvlText w:val="（%1）"/>
      <w:lvlJc w:val="left"/>
      <w:rPr>
        <w:rFonts w:hint="eastAsia"/>
      </w:rPr>
    </w:lvl>
  </w:abstractNum>
  <w:abstractNum w:abstractNumId="3">
    <w:nsid w:val="1F6AF52F"/>
    <w:multiLevelType w:val="singleLevel"/>
    <w:tmpl w:val="1F6AF52F"/>
    <w:lvl w:ilvl="0" w:tentative="0">
      <w:start w:val="3"/>
      <w:numFmt w:val="decimal"/>
      <w:suff w:val="space"/>
      <w:lvlText w:val="%1."/>
      <w:lvlJc w:val="left"/>
    </w:lvl>
  </w:abstractNum>
  <w:abstractNum w:abstractNumId="4">
    <w:nsid w:val="5D2D46EA"/>
    <w:multiLevelType w:val="singleLevel"/>
    <w:tmpl w:val="5D2D46EA"/>
    <w:lvl w:ilvl="0" w:tentative="0">
      <w:start w:val="2"/>
      <w:numFmt w:val="decimal"/>
      <w:suff w:val="nothing"/>
      <w:lvlText w:val="（%1）"/>
      <w:lvlJc w:val="left"/>
    </w:lvl>
  </w:abstractNum>
  <w:abstractNum w:abstractNumId="5">
    <w:nsid w:val="5D2D7BCF"/>
    <w:multiLevelType w:val="singleLevel"/>
    <w:tmpl w:val="5D2D7BCF"/>
    <w:lvl w:ilvl="0" w:tentative="0">
      <w:start w:val="2"/>
      <w:numFmt w:val="decimal"/>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2D6990"/>
    <w:rsid w:val="004F4BF3"/>
    <w:rsid w:val="009C3B83"/>
    <w:rsid w:val="00C91DCE"/>
    <w:rsid w:val="00D848A0"/>
    <w:rsid w:val="00F925A1"/>
    <w:rsid w:val="011773DF"/>
    <w:rsid w:val="014E212A"/>
    <w:rsid w:val="015B13C4"/>
    <w:rsid w:val="01773DA5"/>
    <w:rsid w:val="01F82988"/>
    <w:rsid w:val="0238183F"/>
    <w:rsid w:val="02642285"/>
    <w:rsid w:val="027845BE"/>
    <w:rsid w:val="028270AD"/>
    <w:rsid w:val="02CC0933"/>
    <w:rsid w:val="02D777D8"/>
    <w:rsid w:val="030100DC"/>
    <w:rsid w:val="030B2F37"/>
    <w:rsid w:val="031C3945"/>
    <w:rsid w:val="03A54459"/>
    <w:rsid w:val="03AB1D49"/>
    <w:rsid w:val="03B42F17"/>
    <w:rsid w:val="043B5348"/>
    <w:rsid w:val="04705166"/>
    <w:rsid w:val="04777D88"/>
    <w:rsid w:val="04AA2023"/>
    <w:rsid w:val="04D243BF"/>
    <w:rsid w:val="06946506"/>
    <w:rsid w:val="06DC4728"/>
    <w:rsid w:val="06E31844"/>
    <w:rsid w:val="06F60927"/>
    <w:rsid w:val="06FF562B"/>
    <w:rsid w:val="071775D7"/>
    <w:rsid w:val="0718518F"/>
    <w:rsid w:val="073B3540"/>
    <w:rsid w:val="074D4998"/>
    <w:rsid w:val="07A116A3"/>
    <w:rsid w:val="07C74242"/>
    <w:rsid w:val="07D3612E"/>
    <w:rsid w:val="080D5556"/>
    <w:rsid w:val="0877508D"/>
    <w:rsid w:val="08A645C5"/>
    <w:rsid w:val="08C572F0"/>
    <w:rsid w:val="09093052"/>
    <w:rsid w:val="094D024F"/>
    <w:rsid w:val="09A16635"/>
    <w:rsid w:val="09BA6623"/>
    <w:rsid w:val="09D57515"/>
    <w:rsid w:val="0A494FE9"/>
    <w:rsid w:val="0A6B3549"/>
    <w:rsid w:val="0A850A16"/>
    <w:rsid w:val="0A94099E"/>
    <w:rsid w:val="0A9533FE"/>
    <w:rsid w:val="0A9F75D2"/>
    <w:rsid w:val="0B9F3C30"/>
    <w:rsid w:val="0C476777"/>
    <w:rsid w:val="0C584511"/>
    <w:rsid w:val="0C9D6F8D"/>
    <w:rsid w:val="0CC86FE3"/>
    <w:rsid w:val="0CE22F77"/>
    <w:rsid w:val="0CE9556D"/>
    <w:rsid w:val="0CF42AD6"/>
    <w:rsid w:val="0E1E0733"/>
    <w:rsid w:val="0E3F167B"/>
    <w:rsid w:val="0E537152"/>
    <w:rsid w:val="0E765E33"/>
    <w:rsid w:val="0F1047AC"/>
    <w:rsid w:val="0F665CCB"/>
    <w:rsid w:val="0F886794"/>
    <w:rsid w:val="10480B81"/>
    <w:rsid w:val="1062556C"/>
    <w:rsid w:val="1098071D"/>
    <w:rsid w:val="112D3A21"/>
    <w:rsid w:val="112F13CF"/>
    <w:rsid w:val="1151435C"/>
    <w:rsid w:val="117927C1"/>
    <w:rsid w:val="118A73CA"/>
    <w:rsid w:val="11E6552B"/>
    <w:rsid w:val="11F95306"/>
    <w:rsid w:val="12361473"/>
    <w:rsid w:val="13623DCF"/>
    <w:rsid w:val="137E4210"/>
    <w:rsid w:val="140714E9"/>
    <w:rsid w:val="14171A47"/>
    <w:rsid w:val="14B74EF2"/>
    <w:rsid w:val="14E930E1"/>
    <w:rsid w:val="15075500"/>
    <w:rsid w:val="15246FF4"/>
    <w:rsid w:val="154A523A"/>
    <w:rsid w:val="15586430"/>
    <w:rsid w:val="15895084"/>
    <w:rsid w:val="15C61C67"/>
    <w:rsid w:val="15D30C5C"/>
    <w:rsid w:val="16731926"/>
    <w:rsid w:val="173F3589"/>
    <w:rsid w:val="17494C5D"/>
    <w:rsid w:val="17970F30"/>
    <w:rsid w:val="17CB5125"/>
    <w:rsid w:val="180C7D04"/>
    <w:rsid w:val="185A50D4"/>
    <w:rsid w:val="18634836"/>
    <w:rsid w:val="18E710D5"/>
    <w:rsid w:val="18F14269"/>
    <w:rsid w:val="19041C60"/>
    <w:rsid w:val="19304AD3"/>
    <w:rsid w:val="193C2C2D"/>
    <w:rsid w:val="19734DE7"/>
    <w:rsid w:val="1B0F3868"/>
    <w:rsid w:val="1B3E210F"/>
    <w:rsid w:val="1B8302DE"/>
    <w:rsid w:val="1B921AFB"/>
    <w:rsid w:val="1BF07D1F"/>
    <w:rsid w:val="1C2F2A35"/>
    <w:rsid w:val="1CC65D90"/>
    <w:rsid w:val="1D762C9C"/>
    <w:rsid w:val="1DFE7E79"/>
    <w:rsid w:val="1E0B36AD"/>
    <w:rsid w:val="1E0F228F"/>
    <w:rsid w:val="1E36646B"/>
    <w:rsid w:val="1E4F2371"/>
    <w:rsid w:val="1E59618A"/>
    <w:rsid w:val="1E5D7E91"/>
    <w:rsid w:val="1EBA2E2A"/>
    <w:rsid w:val="1F06041E"/>
    <w:rsid w:val="1F484063"/>
    <w:rsid w:val="1F8A487E"/>
    <w:rsid w:val="1FC636BE"/>
    <w:rsid w:val="201C336A"/>
    <w:rsid w:val="2058560D"/>
    <w:rsid w:val="20960CB4"/>
    <w:rsid w:val="20F02176"/>
    <w:rsid w:val="21264703"/>
    <w:rsid w:val="21634D58"/>
    <w:rsid w:val="216441BD"/>
    <w:rsid w:val="219412B6"/>
    <w:rsid w:val="21CD031E"/>
    <w:rsid w:val="21ED562F"/>
    <w:rsid w:val="22177385"/>
    <w:rsid w:val="229875E4"/>
    <w:rsid w:val="23870F35"/>
    <w:rsid w:val="238B1451"/>
    <w:rsid w:val="23B84E67"/>
    <w:rsid w:val="24C520E2"/>
    <w:rsid w:val="256D7B9F"/>
    <w:rsid w:val="258A2DE9"/>
    <w:rsid w:val="259432D3"/>
    <w:rsid w:val="25CD541E"/>
    <w:rsid w:val="2644267E"/>
    <w:rsid w:val="2667501C"/>
    <w:rsid w:val="2754646E"/>
    <w:rsid w:val="27BE53D9"/>
    <w:rsid w:val="27D827E0"/>
    <w:rsid w:val="27DD2603"/>
    <w:rsid w:val="27E160AF"/>
    <w:rsid w:val="27FB6647"/>
    <w:rsid w:val="281A708D"/>
    <w:rsid w:val="281B1BA2"/>
    <w:rsid w:val="28442410"/>
    <w:rsid w:val="28581FE4"/>
    <w:rsid w:val="28774CC1"/>
    <w:rsid w:val="287C5CBA"/>
    <w:rsid w:val="28B454A6"/>
    <w:rsid w:val="28D00EA3"/>
    <w:rsid w:val="28D87A0E"/>
    <w:rsid w:val="29046A27"/>
    <w:rsid w:val="291B407C"/>
    <w:rsid w:val="295662BF"/>
    <w:rsid w:val="29CD523F"/>
    <w:rsid w:val="2A370BFB"/>
    <w:rsid w:val="2A66466B"/>
    <w:rsid w:val="2A7A470F"/>
    <w:rsid w:val="2AC23863"/>
    <w:rsid w:val="2AF87B34"/>
    <w:rsid w:val="2B257722"/>
    <w:rsid w:val="2B3C257B"/>
    <w:rsid w:val="2B8B0AB8"/>
    <w:rsid w:val="2BC87306"/>
    <w:rsid w:val="2BD05AF8"/>
    <w:rsid w:val="2BD86BC8"/>
    <w:rsid w:val="2CD22AD6"/>
    <w:rsid w:val="2CD30A7A"/>
    <w:rsid w:val="2CE05D84"/>
    <w:rsid w:val="2CED1A8E"/>
    <w:rsid w:val="2CF542B0"/>
    <w:rsid w:val="2D661D05"/>
    <w:rsid w:val="2D93129C"/>
    <w:rsid w:val="2DB16655"/>
    <w:rsid w:val="2DD40BCB"/>
    <w:rsid w:val="2E3424A7"/>
    <w:rsid w:val="2E983E36"/>
    <w:rsid w:val="2EBA45F3"/>
    <w:rsid w:val="2F25434B"/>
    <w:rsid w:val="2F765568"/>
    <w:rsid w:val="2F9B3A34"/>
    <w:rsid w:val="2FE1213B"/>
    <w:rsid w:val="303237D2"/>
    <w:rsid w:val="30D56877"/>
    <w:rsid w:val="31BB3A31"/>
    <w:rsid w:val="320630E7"/>
    <w:rsid w:val="32066D36"/>
    <w:rsid w:val="32D93865"/>
    <w:rsid w:val="32F31154"/>
    <w:rsid w:val="32F920BF"/>
    <w:rsid w:val="335332C3"/>
    <w:rsid w:val="33900147"/>
    <w:rsid w:val="33B15ACD"/>
    <w:rsid w:val="34450B3B"/>
    <w:rsid w:val="34597F68"/>
    <w:rsid w:val="34C14815"/>
    <w:rsid w:val="34C2561E"/>
    <w:rsid w:val="34EF24B5"/>
    <w:rsid w:val="35222B95"/>
    <w:rsid w:val="35542E8F"/>
    <w:rsid w:val="355F70D6"/>
    <w:rsid w:val="35906E4D"/>
    <w:rsid w:val="35A87DCD"/>
    <w:rsid w:val="35AA600E"/>
    <w:rsid w:val="35DB5531"/>
    <w:rsid w:val="36386195"/>
    <w:rsid w:val="36437D10"/>
    <w:rsid w:val="367F6974"/>
    <w:rsid w:val="369508BE"/>
    <w:rsid w:val="37247B26"/>
    <w:rsid w:val="38113DEC"/>
    <w:rsid w:val="383E7737"/>
    <w:rsid w:val="387576D1"/>
    <w:rsid w:val="38DD5670"/>
    <w:rsid w:val="38FD7EBD"/>
    <w:rsid w:val="39546C3C"/>
    <w:rsid w:val="39867604"/>
    <w:rsid w:val="39D667BD"/>
    <w:rsid w:val="3A0657E4"/>
    <w:rsid w:val="3AEB439F"/>
    <w:rsid w:val="3B716F0E"/>
    <w:rsid w:val="3B7C352A"/>
    <w:rsid w:val="3BDA3E0A"/>
    <w:rsid w:val="3C041E78"/>
    <w:rsid w:val="3C1650A2"/>
    <w:rsid w:val="3C661364"/>
    <w:rsid w:val="3D5109A7"/>
    <w:rsid w:val="3D870F80"/>
    <w:rsid w:val="3D934C6E"/>
    <w:rsid w:val="3DC7019F"/>
    <w:rsid w:val="3DDA4FAD"/>
    <w:rsid w:val="3EE502B5"/>
    <w:rsid w:val="3F4A42A0"/>
    <w:rsid w:val="3F570720"/>
    <w:rsid w:val="3F790DA7"/>
    <w:rsid w:val="3F7A4486"/>
    <w:rsid w:val="3FD6183F"/>
    <w:rsid w:val="40085B29"/>
    <w:rsid w:val="42243F93"/>
    <w:rsid w:val="4254376A"/>
    <w:rsid w:val="42663268"/>
    <w:rsid w:val="42864F5F"/>
    <w:rsid w:val="428F43D3"/>
    <w:rsid w:val="42E43617"/>
    <w:rsid w:val="42F1273E"/>
    <w:rsid w:val="43332525"/>
    <w:rsid w:val="4370524C"/>
    <w:rsid w:val="43841CD5"/>
    <w:rsid w:val="4400059A"/>
    <w:rsid w:val="44232833"/>
    <w:rsid w:val="444D169A"/>
    <w:rsid w:val="44AB538E"/>
    <w:rsid w:val="44FF7583"/>
    <w:rsid w:val="45353538"/>
    <w:rsid w:val="45AB3E8B"/>
    <w:rsid w:val="45C02BAC"/>
    <w:rsid w:val="469313B0"/>
    <w:rsid w:val="46AB2761"/>
    <w:rsid w:val="46D35645"/>
    <w:rsid w:val="47096F16"/>
    <w:rsid w:val="471430ED"/>
    <w:rsid w:val="472E7DB3"/>
    <w:rsid w:val="476234AA"/>
    <w:rsid w:val="476E5955"/>
    <w:rsid w:val="478178DB"/>
    <w:rsid w:val="4782741E"/>
    <w:rsid w:val="47AC5BC1"/>
    <w:rsid w:val="481D149E"/>
    <w:rsid w:val="48E91E44"/>
    <w:rsid w:val="49820907"/>
    <w:rsid w:val="4A8A74D0"/>
    <w:rsid w:val="4ABC080A"/>
    <w:rsid w:val="4AF53D51"/>
    <w:rsid w:val="4B8929AF"/>
    <w:rsid w:val="4B8A23C8"/>
    <w:rsid w:val="4C2E55A4"/>
    <w:rsid w:val="4C3661A5"/>
    <w:rsid w:val="4C456F55"/>
    <w:rsid w:val="4CB70141"/>
    <w:rsid w:val="4CDC49A6"/>
    <w:rsid w:val="4CEC2F41"/>
    <w:rsid w:val="4D0954D2"/>
    <w:rsid w:val="4DA0465A"/>
    <w:rsid w:val="4DBC5996"/>
    <w:rsid w:val="4E395E6E"/>
    <w:rsid w:val="4E3F2F27"/>
    <w:rsid w:val="4E611DA6"/>
    <w:rsid w:val="4E616D07"/>
    <w:rsid w:val="4EA73BE4"/>
    <w:rsid w:val="4EAF4FFC"/>
    <w:rsid w:val="4EC14D9A"/>
    <w:rsid w:val="4EC87571"/>
    <w:rsid w:val="4ECB7FC8"/>
    <w:rsid w:val="4F4A35EF"/>
    <w:rsid w:val="4FB6658A"/>
    <w:rsid w:val="4FE1028F"/>
    <w:rsid w:val="4FF00474"/>
    <w:rsid w:val="504445D6"/>
    <w:rsid w:val="50503F70"/>
    <w:rsid w:val="50D6311D"/>
    <w:rsid w:val="511A18F2"/>
    <w:rsid w:val="511D18F6"/>
    <w:rsid w:val="51237B4C"/>
    <w:rsid w:val="51311C95"/>
    <w:rsid w:val="51420B78"/>
    <w:rsid w:val="51627A06"/>
    <w:rsid w:val="51FE62A0"/>
    <w:rsid w:val="521348FE"/>
    <w:rsid w:val="52226A07"/>
    <w:rsid w:val="52A26CE2"/>
    <w:rsid w:val="52A9682E"/>
    <w:rsid w:val="52F07FB7"/>
    <w:rsid w:val="53603A81"/>
    <w:rsid w:val="5385181C"/>
    <w:rsid w:val="53A24775"/>
    <w:rsid w:val="548552BB"/>
    <w:rsid w:val="54D61E41"/>
    <w:rsid w:val="558178A7"/>
    <w:rsid w:val="55A7051A"/>
    <w:rsid w:val="55D73E35"/>
    <w:rsid w:val="56AA1C75"/>
    <w:rsid w:val="56F64A1D"/>
    <w:rsid w:val="578C26A7"/>
    <w:rsid w:val="57C02E3D"/>
    <w:rsid w:val="57C51F65"/>
    <w:rsid w:val="58481EC0"/>
    <w:rsid w:val="589F7F5D"/>
    <w:rsid w:val="594C28F6"/>
    <w:rsid w:val="594E4E2A"/>
    <w:rsid w:val="59500148"/>
    <w:rsid w:val="5996272D"/>
    <w:rsid w:val="59BC7D62"/>
    <w:rsid w:val="5A121CF5"/>
    <w:rsid w:val="5AB168EE"/>
    <w:rsid w:val="5AC2426B"/>
    <w:rsid w:val="5B30373C"/>
    <w:rsid w:val="5B5E7F71"/>
    <w:rsid w:val="5B752329"/>
    <w:rsid w:val="5BDA397E"/>
    <w:rsid w:val="5C184671"/>
    <w:rsid w:val="5C1D6179"/>
    <w:rsid w:val="5C21008F"/>
    <w:rsid w:val="5C7616FC"/>
    <w:rsid w:val="5C9D6C82"/>
    <w:rsid w:val="5D063EF2"/>
    <w:rsid w:val="5D27070C"/>
    <w:rsid w:val="5E842DDD"/>
    <w:rsid w:val="5EA27B30"/>
    <w:rsid w:val="5F355CEB"/>
    <w:rsid w:val="5F3E49FF"/>
    <w:rsid w:val="5F3F3E5B"/>
    <w:rsid w:val="5F551C1D"/>
    <w:rsid w:val="5F8C703A"/>
    <w:rsid w:val="5FB3533A"/>
    <w:rsid w:val="5FB92107"/>
    <w:rsid w:val="5FC541FB"/>
    <w:rsid w:val="5FDA0ADC"/>
    <w:rsid w:val="603B2C45"/>
    <w:rsid w:val="603F767D"/>
    <w:rsid w:val="60807FEB"/>
    <w:rsid w:val="60850D8F"/>
    <w:rsid w:val="609F4F7A"/>
    <w:rsid w:val="60CA7669"/>
    <w:rsid w:val="60CB2818"/>
    <w:rsid w:val="60DE69C3"/>
    <w:rsid w:val="60E41B75"/>
    <w:rsid w:val="61EB068E"/>
    <w:rsid w:val="620A06DB"/>
    <w:rsid w:val="6234143E"/>
    <w:rsid w:val="62936C20"/>
    <w:rsid w:val="62A57BFC"/>
    <w:rsid w:val="62C83FCD"/>
    <w:rsid w:val="63830AB9"/>
    <w:rsid w:val="63963AD6"/>
    <w:rsid w:val="63B15845"/>
    <w:rsid w:val="63D05B28"/>
    <w:rsid w:val="640F74FE"/>
    <w:rsid w:val="642E76DB"/>
    <w:rsid w:val="643B1995"/>
    <w:rsid w:val="64B42912"/>
    <w:rsid w:val="64E84063"/>
    <w:rsid w:val="654869F7"/>
    <w:rsid w:val="657B7235"/>
    <w:rsid w:val="65B53316"/>
    <w:rsid w:val="65D26966"/>
    <w:rsid w:val="668B3E0D"/>
    <w:rsid w:val="66941B5B"/>
    <w:rsid w:val="66AC25D7"/>
    <w:rsid w:val="66CB44D5"/>
    <w:rsid w:val="66E8681C"/>
    <w:rsid w:val="6763334A"/>
    <w:rsid w:val="67766763"/>
    <w:rsid w:val="68431F07"/>
    <w:rsid w:val="68453C56"/>
    <w:rsid w:val="68B757A5"/>
    <w:rsid w:val="694A056C"/>
    <w:rsid w:val="694D5843"/>
    <w:rsid w:val="696024AC"/>
    <w:rsid w:val="69C1391C"/>
    <w:rsid w:val="69C66889"/>
    <w:rsid w:val="69C76BA2"/>
    <w:rsid w:val="69CE7765"/>
    <w:rsid w:val="69F734EE"/>
    <w:rsid w:val="6A256535"/>
    <w:rsid w:val="6A670695"/>
    <w:rsid w:val="6AD6327F"/>
    <w:rsid w:val="6AF259FE"/>
    <w:rsid w:val="6B1C33B9"/>
    <w:rsid w:val="6B861D73"/>
    <w:rsid w:val="6C4A714D"/>
    <w:rsid w:val="6D1725F7"/>
    <w:rsid w:val="6D366A07"/>
    <w:rsid w:val="6D3B3D82"/>
    <w:rsid w:val="6D505083"/>
    <w:rsid w:val="6DA8441A"/>
    <w:rsid w:val="6DDB2966"/>
    <w:rsid w:val="6EE215A6"/>
    <w:rsid w:val="6F1F1DAC"/>
    <w:rsid w:val="6F5505B3"/>
    <w:rsid w:val="6F646AE3"/>
    <w:rsid w:val="6F8D1908"/>
    <w:rsid w:val="6F8F112E"/>
    <w:rsid w:val="6FCB5DFF"/>
    <w:rsid w:val="70132927"/>
    <w:rsid w:val="701F70EA"/>
    <w:rsid w:val="70797F5E"/>
    <w:rsid w:val="70A66EB2"/>
    <w:rsid w:val="70B618B3"/>
    <w:rsid w:val="70C65352"/>
    <w:rsid w:val="70E12D87"/>
    <w:rsid w:val="70F32C5D"/>
    <w:rsid w:val="71084420"/>
    <w:rsid w:val="71340AC9"/>
    <w:rsid w:val="718F16FF"/>
    <w:rsid w:val="71A66FF6"/>
    <w:rsid w:val="71BF7FAA"/>
    <w:rsid w:val="71EC585F"/>
    <w:rsid w:val="721C636C"/>
    <w:rsid w:val="727D6C55"/>
    <w:rsid w:val="72AC2480"/>
    <w:rsid w:val="72C129AE"/>
    <w:rsid w:val="73AB24E8"/>
    <w:rsid w:val="74122886"/>
    <w:rsid w:val="741D0B94"/>
    <w:rsid w:val="7467571F"/>
    <w:rsid w:val="747A797E"/>
    <w:rsid w:val="74D03911"/>
    <w:rsid w:val="74D2530B"/>
    <w:rsid w:val="750E7B28"/>
    <w:rsid w:val="75600E40"/>
    <w:rsid w:val="75603AAC"/>
    <w:rsid w:val="75C43A6E"/>
    <w:rsid w:val="76473281"/>
    <w:rsid w:val="765B6C82"/>
    <w:rsid w:val="767F188B"/>
    <w:rsid w:val="76812DC8"/>
    <w:rsid w:val="76CA76EF"/>
    <w:rsid w:val="76E1091C"/>
    <w:rsid w:val="76EA7B78"/>
    <w:rsid w:val="771203B0"/>
    <w:rsid w:val="7768484D"/>
    <w:rsid w:val="77A7148D"/>
    <w:rsid w:val="77C6134D"/>
    <w:rsid w:val="77ED3F1C"/>
    <w:rsid w:val="780E7CBB"/>
    <w:rsid w:val="78496849"/>
    <w:rsid w:val="78513FF8"/>
    <w:rsid w:val="796909FC"/>
    <w:rsid w:val="7A0023B6"/>
    <w:rsid w:val="7A083998"/>
    <w:rsid w:val="7AF1482F"/>
    <w:rsid w:val="7B6D4046"/>
    <w:rsid w:val="7BBF0811"/>
    <w:rsid w:val="7BCF23B0"/>
    <w:rsid w:val="7BD970AE"/>
    <w:rsid w:val="7C350D68"/>
    <w:rsid w:val="7C6807EF"/>
    <w:rsid w:val="7C77780F"/>
    <w:rsid w:val="7C9A2997"/>
    <w:rsid w:val="7C9B64D6"/>
    <w:rsid w:val="7CAC1743"/>
    <w:rsid w:val="7CB83063"/>
    <w:rsid w:val="7D15151C"/>
    <w:rsid w:val="7D457BFD"/>
    <w:rsid w:val="7D537A73"/>
    <w:rsid w:val="7D9E187C"/>
    <w:rsid w:val="7DF97199"/>
    <w:rsid w:val="7E374CD7"/>
    <w:rsid w:val="7E4A260A"/>
    <w:rsid w:val="7E4C6A99"/>
    <w:rsid w:val="7E8E452E"/>
    <w:rsid w:val="7E9108BB"/>
    <w:rsid w:val="7EB53741"/>
    <w:rsid w:val="7F102DC8"/>
    <w:rsid w:val="7F7B540F"/>
    <w:rsid w:val="7FAC7932"/>
    <w:rsid w:val="7FB842AB"/>
    <w:rsid w:val="7FC310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cp:lastModifiedBy>
  <cp:lastPrinted>2020-04-15T07:45:00Z</cp:lastPrinted>
  <dcterms:modified xsi:type="dcterms:W3CDTF">2020-04-20T02:09:54Z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